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405" w:rsidRDefault="00A64405" w:rsidP="00A64405">
      <w:pPr>
        <w:spacing w:after="0" w:line="240" w:lineRule="auto"/>
        <w:jc w:val="center"/>
        <w:rPr>
          <w:rFonts w:ascii="Times New Roman" w:hAnsi="Times New Roman" w:cs="Times New Roman"/>
          <w:b/>
          <w:sz w:val="24"/>
          <w:szCs w:val="24"/>
        </w:rPr>
      </w:pPr>
      <w:r w:rsidRPr="00A64405">
        <w:rPr>
          <w:rFonts w:ascii="Times New Roman" w:hAnsi="Times New Roman" w:cs="Times New Roman"/>
          <w:b/>
          <w:sz w:val="24"/>
          <w:szCs w:val="24"/>
        </w:rPr>
        <w:t xml:space="preserve">A regional bloom of </w:t>
      </w:r>
      <w:r w:rsidRPr="00A64405">
        <w:rPr>
          <w:rFonts w:ascii="Times New Roman" w:hAnsi="Times New Roman" w:cs="Times New Roman"/>
          <w:b/>
          <w:i/>
          <w:sz w:val="24"/>
          <w:szCs w:val="24"/>
        </w:rPr>
        <w:t>Phaeocystis</w:t>
      </w:r>
      <w:r w:rsidRPr="00A64405">
        <w:rPr>
          <w:rFonts w:ascii="Times New Roman" w:hAnsi="Times New Roman" w:cs="Times New Roman"/>
          <w:b/>
          <w:sz w:val="24"/>
          <w:szCs w:val="24"/>
        </w:rPr>
        <w:t xml:space="preserve"> on the southern New England Shelf</w:t>
      </w:r>
    </w:p>
    <w:p w:rsidR="00A64405" w:rsidRPr="00A64405" w:rsidRDefault="00A64405" w:rsidP="00A64405">
      <w:pPr>
        <w:spacing w:after="0" w:line="240" w:lineRule="auto"/>
        <w:jc w:val="center"/>
        <w:rPr>
          <w:rFonts w:ascii="Times New Roman" w:hAnsi="Times New Roman" w:cs="Times New Roman"/>
          <w:sz w:val="24"/>
          <w:szCs w:val="24"/>
        </w:rPr>
      </w:pPr>
      <w:r w:rsidRPr="00A64405">
        <w:rPr>
          <w:rFonts w:ascii="Times New Roman" w:hAnsi="Times New Roman" w:cs="Times New Roman"/>
          <w:sz w:val="24"/>
          <w:szCs w:val="24"/>
        </w:rPr>
        <w:t>Draft 1/1/19</w:t>
      </w:r>
    </w:p>
    <w:p w:rsidR="00A64405" w:rsidRDefault="00A64405" w:rsidP="00A64405">
      <w:pPr>
        <w:spacing w:after="0" w:line="240" w:lineRule="auto"/>
        <w:rPr>
          <w:rFonts w:ascii="Times New Roman" w:hAnsi="Times New Roman" w:cs="Times New Roman"/>
          <w:sz w:val="24"/>
          <w:szCs w:val="24"/>
        </w:rPr>
      </w:pPr>
      <w:r w:rsidRPr="00A64405">
        <w:rPr>
          <w:rFonts w:ascii="Times New Roman" w:hAnsi="Times New Roman" w:cs="Times New Roman"/>
          <w:sz w:val="24"/>
          <w:szCs w:val="24"/>
        </w:rPr>
        <w:tab/>
      </w:r>
    </w:p>
    <w:p w:rsidR="00496468" w:rsidRDefault="003A6036" w:rsidP="0049646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Voyage #29 of </w:t>
      </w:r>
      <w:r w:rsidR="00496468">
        <w:rPr>
          <w:rFonts w:ascii="Times New Roman" w:hAnsi="Times New Roman" w:cs="Times New Roman"/>
          <w:sz w:val="24"/>
          <w:szCs w:val="24"/>
        </w:rPr>
        <w:t xml:space="preserve">the R/V </w:t>
      </w:r>
      <w:r w:rsidR="00496468" w:rsidRPr="00C92410">
        <w:rPr>
          <w:rFonts w:ascii="Times New Roman" w:hAnsi="Times New Roman" w:cs="Times New Roman"/>
          <w:i/>
          <w:sz w:val="24"/>
          <w:szCs w:val="24"/>
        </w:rPr>
        <w:t>Neil Armstrong</w:t>
      </w:r>
      <w:r w:rsidR="00496468">
        <w:rPr>
          <w:rFonts w:ascii="Times New Roman" w:hAnsi="Times New Roman" w:cs="Times New Roman"/>
          <w:sz w:val="24"/>
          <w:szCs w:val="24"/>
        </w:rPr>
        <w:t xml:space="preserve"> (AR 29, 16-29 April 2018) </w:t>
      </w:r>
      <w:r>
        <w:rPr>
          <w:rFonts w:ascii="Times New Roman" w:hAnsi="Times New Roman" w:cs="Times New Roman"/>
          <w:sz w:val="24"/>
          <w:szCs w:val="24"/>
        </w:rPr>
        <w:t>focused on sampling</w:t>
      </w:r>
      <w:r w:rsidR="00496468">
        <w:rPr>
          <w:rFonts w:ascii="Times New Roman" w:hAnsi="Times New Roman" w:cs="Times New Roman"/>
          <w:sz w:val="24"/>
          <w:szCs w:val="24"/>
        </w:rPr>
        <w:t xml:space="preserve"> hotspots in net community production at the shelf break front south of New England, in the vicinity of the Ocean Observ</w:t>
      </w:r>
      <w:bookmarkStart w:id="0" w:name="_GoBack"/>
      <w:bookmarkEnd w:id="0"/>
      <w:r w:rsidR="00496468">
        <w:rPr>
          <w:rFonts w:ascii="Times New Roman" w:hAnsi="Times New Roman" w:cs="Times New Roman"/>
          <w:sz w:val="24"/>
          <w:szCs w:val="24"/>
        </w:rPr>
        <w:t xml:space="preserve">atories Initiative’s Pioneer Array.  </w:t>
      </w:r>
      <w:r w:rsidR="00496468" w:rsidRPr="00DE10F0">
        <w:rPr>
          <w:rFonts w:ascii="Times New Roman" w:hAnsi="Times New Roman" w:cs="Times New Roman"/>
          <w:sz w:val="24"/>
          <w:szCs w:val="24"/>
        </w:rPr>
        <w:t xml:space="preserve">Mid-way through the cruise we observed an area of high </w:t>
      </w:r>
      <w:r w:rsidR="00496468">
        <w:rPr>
          <w:rFonts w:ascii="Times New Roman" w:hAnsi="Times New Roman" w:cs="Times New Roman"/>
          <w:sz w:val="24"/>
          <w:szCs w:val="24"/>
        </w:rPr>
        <w:t>chlorophyll</w:t>
      </w:r>
      <w:r w:rsidR="00496468" w:rsidRPr="00DE10F0">
        <w:rPr>
          <w:rFonts w:ascii="Times New Roman" w:hAnsi="Times New Roman" w:cs="Times New Roman"/>
          <w:sz w:val="24"/>
          <w:szCs w:val="24"/>
        </w:rPr>
        <w:t xml:space="preserve"> well inshore of the shelfbreak front.  </w:t>
      </w:r>
      <w:r w:rsidR="00496468">
        <w:rPr>
          <w:rFonts w:ascii="Times New Roman" w:hAnsi="Times New Roman" w:cs="Times New Roman"/>
          <w:sz w:val="24"/>
          <w:szCs w:val="24"/>
        </w:rPr>
        <w:t xml:space="preserve"> Algae of the genus </w:t>
      </w:r>
      <w:r w:rsidR="00496468" w:rsidRPr="00B725F3">
        <w:rPr>
          <w:rFonts w:ascii="Times New Roman" w:hAnsi="Times New Roman" w:cs="Times New Roman"/>
          <w:i/>
          <w:sz w:val="24"/>
          <w:szCs w:val="24"/>
        </w:rPr>
        <w:t>Phaeocystis</w:t>
      </w:r>
      <w:r w:rsidR="00496468" w:rsidRPr="00DE10F0">
        <w:rPr>
          <w:rFonts w:ascii="Times New Roman" w:hAnsi="Times New Roman" w:cs="Times New Roman"/>
          <w:sz w:val="24"/>
          <w:szCs w:val="24"/>
        </w:rPr>
        <w:t xml:space="preserve"> </w:t>
      </w:r>
      <w:r w:rsidR="00496468">
        <w:rPr>
          <w:rFonts w:ascii="Times New Roman" w:hAnsi="Times New Roman" w:cs="Times New Roman"/>
          <w:sz w:val="24"/>
          <w:szCs w:val="24"/>
        </w:rPr>
        <w:t>were</w:t>
      </w:r>
      <w:r w:rsidR="00496468" w:rsidRPr="00DE10F0">
        <w:rPr>
          <w:rFonts w:ascii="Times New Roman" w:hAnsi="Times New Roman" w:cs="Times New Roman"/>
          <w:sz w:val="24"/>
          <w:szCs w:val="24"/>
        </w:rPr>
        <w:t xml:space="preserve"> detected in these samples</w:t>
      </w:r>
      <w:r w:rsidR="00496468">
        <w:rPr>
          <w:rFonts w:ascii="Times New Roman" w:hAnsi="Times New Roman" w:cs="Times New Roman"/>
          <w:sz w:val="24"/>
          <w:szCs w:val="24"/>
        </w:rPr>
        <w:t xml:space="preserve"> (Figure 1, upper right)</w:t>
      </w:r>
      <w:r w:rsidR="00496468" w:rsidRPr="00DE10F0">
        <w:rPr>
          <w:rFonts w:ascii="Times New Roman" w:hAnsi="Times New Roman" w:cs="Times New Roman"/>
          <w:sz w:val="24"/>
          <w:szCs w:val="24"/>
        </w:rPr>
        <w:t>, and its origin is made clear in satellite imagery</w:t>
      </w:r>
      <w:r w:rsidR="00496468">
        <w:rPr>
          <w:rFonts w:ascii="Times New Roman" w:hAnsi="Times New Roman" w:cs="Times New Roman"/>
          <w:sz w:val="24"/>
          <w:szCs w:val="24"/>
        </w:rPr>
        <w:t xml:space="preserve"> (Figure 1, left)</w:t>
      </w:r>
      <w:r w:rsidR="00496468" w:rsidRPr="00DE10F0">
        <w:rPr>
          <w:rFonts w:ascii="Times New Roman" w:hAnsi="Times New Roman" w:cs="Times New Roman"/>
          <w:sz w:val="24"/>
          <w:szCs w:val="24"/>
        </w:rPr>
        <w:t xml:space="preserve">: </w:t>
      </w:r>
      <w:r w:rsidR="00496468">
        <w:rPr>
          <w:rFonts w:ascii="Times New Roman" w:hAnsi="Times New Roman" w:cs="Times New Roman"/>
          <w:sz w:val="24"/>
          <w:szCs w:val="24"/>
        </w:rPr>
        <w:t xml:space="preserve">the April 22 image shows </w:t>
      </w:r>
      <w:r w:rsidR="00496468" w:rsidRPr="00DE10F0">
        <w:rPr>
          <w:rFonts w:ascii="Times New Roman" w:hAnsi="Times New Roman" w:cs="Times New Roman"/>
          <w:sz w:val="24"/>
          <w:szCs w:val="24"/>
        </w:rPr>
        <w:t>tendrils of a large-scale patch of chlorophyll south of Martha’s Vine</w:t>
      </w:r>
      <w:r w:rsidR="00496468">
        <w:rPr>
          <w:rFonts w:ascii="Times New Roman" w:hAnsi="Times New Roman" w:cs="Times New Roman"/>
          <w:sz w:val="24"/>
          <w:szCs w:val="24"/>
        </w:rPr>
        <w:t>yard and Nantucket impinging on the north-south transect of stations we were occupying at the time</w:t>
      </w:r>
      <w:r w:rsidR="00496468" w:rsidRPr="00DE10F0">
        <w:rPr>
          <w:rFonts w:ascii="Times New Roman" w:hAnsi="Times New Roman" w:cs="Times New Roman"/>
          <w:sz w:val="24"/>
          <w:szCs w:val="24"/>
        </w:rPr>
        <w:t>.  Curiously, the surface expression of this disap</w:t>
      </w:r>
      <w:r w:rsidR="00496468">
        <w:rPr>
          <w:rFonts w:ascii="Times New Roman" w:hAnsi="Times New Roman" w:cs="Times New Roman"/>
          <w:sz w:val="24"/>
          <w:szCs w:val="24"/>
        </w:rPr>
        <w:t>peared a day later (April 23</w:t>
      </w:r>
      <w:r w:rsidR="00496468" w:rsidRPr="00DE10F0">
        <w:rPr>
          <w:rFonts w:ascii="Times New Roman" w:hAnsi="Times New Roman" w:cs="Times New Roman"/>
          <w:sz w:val="24"/>
          <w:szCs w:val="24"/>
        </w:rPr>
        <w:t xml:space="preserve">).  </w:t>
      </w:r>
    </w:p>
    <w:p w:rsidR="00496468" w:rsidRDefault="00496468" w:rsidP="0049646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These observations led us to carry out VPR survey of </w:t>
      </w:r>
      <w:r w:rsidRPr="001D5D35">
        <w:rPr>
          <w:rFonts w:ascii="Times New Roman" w:hAnsi="Times New Roman" w:cs="Times New Roman"/>
          <w:i/>
          <w:sz w:val="24"/>
          <w:szCs w:val="24"/>
        </w:rPr>
        <w:t>Phaeocystis</w:t>
      </w:r>
      <w:r>
        <w:rPr>
          <w:rFonts w:ascii="Times New Roman" w:hAnsi="Times New Roman" w:cs="Times New Roman"/>
          <w:sz w:val="24"/>
          <w:szCs w:val="24"/>
        </w:rPr>
        <w:t xml:space="preserve"> bloom.  Image classification remains to be carried out, but qualitative observations during the tow suggest optical backscatter was a reasonable proxy for the highest concentrations of </w:t>
      </w:r>
      <w:r w:rsidRPr="00C748F0">
        <w:rPr>
          <w:rFonts w:ascii="Times New Roman" w:hAnsi="Times New Roman" w:cs="Times New Roman"/>
          <w:i/>
          <w:sz w:val="24"/>
          <w:szCs w:val="24"/>
        </w:rPr>
        <w:t>Phaeocystis</w:t>
      </w:r>
      <w:r>
        <w:rPr>
          <w:rFonts w:ascii="Times New Roman" w:hAnsi="Times New Roman" w:cs="Times New Roman"/>
          <w:sz w:val="24"/>
          <w:szCs w:val="24"/>
        </w:rPr>
        <w:t xml:space="preserve"> colonies.  Whereas</w:t>
      </w:r>
      <w:r w:rsidRPr="00FB6A78">
        <w:rPr>
          <w:rFonts w:ascii="Times New Roman" w:hAnsi="Times New Roman" w:cs="Times New Roman"/>
          <w:i/>
          <w:sz w:val="24"/>
          <w:szCs w:val="24"/>
        </w:rPr>
        <w:t xml:space="preserve"> </w:t>
      </w:r>
      <w:r w:rsidRPr="00C748F0">
        <w:rPr>
          <w:rFonts w:ascii="Times New Roman" w:hAnsi="Times New Roman" w:cs="Times New Roman"/>
          <w:i/>
          <w:sz w:val="24"/>
          <w:szCs w:val="24"/>
        </w:rPr>
        <w:t>Phaeocystis</w:t>
      </w:r>
      <w:r>
        <w:rPr>
          <w:rFonts w:ascii="Times New Roman" w:hAnsi="Times New Roman" w:cs="Times New Roman"/>
          <w:sz w:val="24"/>
          <w:szCs w:val="24"/>
        </w:rPr>
        <w:t xml:space="preserve"> was confined mostly to the bottom boundary layer near in the west, it outcropped at the surface as we transited north and east into the least stratified region (Figure 1, lower right).  More opaque colonies were more prevalent in that area, with </w:t>
      </w:r>
      <w:r w:rsidRPr="00C748F0">
        <w:rPr>
          <w:rFonts w:ascii="Times New Roman" w:hAnsi="Times New Roman" w:cs="Times New Roman"/>
          <w:i/>
          <w:sz w:val="24"/>
          <w:szCs w:val="24"/>
        </w:rPr>
        <w:t>Phaeocystis</w:t>
      </w:r>
      <w:r>
        <w:rPr>
          <w:rFonts w:ascii="Times New Roman" w:hAnsi="Times New Roman" w:cs="Times New Roman"/>
          <w:sz w:val="24"/>
          <w:szCs w:val="24"/>
        </w:rPr>
        <w:t xml:space="preserve"> colonies spanning from the surface to the bottom. </w:t>
      </w:r>
    </w:p>
    <w:p w:rsidR="00496468" w:rsidRDefault="00496468" w:rsidP="0049646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Our data suggest sinking as an explanation.  Although the fluorescence distribution from A2</w:t>
      </w:r>
      <w:r w:rsidR="003A6036">
        <w:rPr>
          <w:rFonts w:ascii="Times New Roman" w:hAnsi="Times New Roman" w:cs="Times New Roman"/>
          <w:sz w:val="24"/>
          <w:szCs w:val="24"/>
        </w:rPr>
        <w:t xml:space="preserve"> to A4 on April 23 (Figure </w:t>
      </w:r>
      <w:r>
        <w:rPr>
          <w:rFonts w:ascii="Times New Roman" w:hAnsi="Times New Roman" w:cs="Times New Roman"/>
          <w:sz w:val="24"/>
          <w:szCs w:val="24"/>
        </w:rPr>
        <w:t xml:space="preserve">2) appears to be distributed uniformly from surface to bottom, saturation of the color bar obscures the fact that the highest fluorescence occurs in the BBL.  As time went on, surface waters above the deep population of </w:t>
      </w:r>
      <w:r w:rsidRPr="00DB3B03">
        <w:rPr>
          <w:rFonts w:ascii="Times New Roman" w:hAnsi="Times New Roman" w:cs="Times New Roman"/>
          <w:i/>
          <w:sz w:val="24"/>
          <w:szCs w:val="24"/>
        </w:rPr>
        <w:t>Phaeocystis</w:t>
      </w:r>
      <w:r>
        <w:rPr>
          <w:rFonts w:ascii="Times New Roman" w:hAnsi="Times New Roman" w:cs="Times New Roman"/>
          <w:sz w:val="24"/>
          <w:szCs w:val="24"/>
        </w:rPr>
        <w:t xml:space="preserve"> </w:t>
      </w:r>
      <w:r w:rsidR="003A6036">
        <w:rPr>
          <w:rFonts w:ascii="Times New Roman" w:hAnsi="Times New Roman" w:cs="Times New Roman"/>
          <w:sz w:val="24"/>
          <w:szCs w:val="24"/>
        </w:rPr>
        <w:t>became very clear (Figure 3</w:t>
      </w:r>
      <w:r>
        <w:rPr>
          <w:rFonts w:ascii="Times New Roman" w:hAnsi="Times New Roman" w:cs="Times New Roman"/>
          <w:sz w:val="24"/>
          <w:szCs w:val="24"/>
        </w:rPr>
        <w:t xml:space="preserve">), and fluorescence in the BBL became very high, with values exceeding 15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 Chl L</w:t>
      </w:r>
      <w:r w:rsidRPr="004708D8">
        <w:rPr>
          <w:rFonts w:ascii="Times New Roman" w:hAnsi="Times New Roman" w:cs="Times New Roman"/>
          <w:sz w:val="24"/>
          <w:szCs w:val="24"/>
          <w:vertAlign w:val="superscript"/>
        </w:rPr>
        <w:t>-1</w:t>
      </w:r>
      <w:r>
        <w:rPr>
          <w:rFonts w:ascii="Times New Roman" w:hAnsi="Times New Roman" w:cs="Times New Roman"/>
          <w:sz w:val="24"/>
          <w:szCs w:val="24"/>
        </w:rPr>
        <w:t>.  One potential explanation for the observed distribution can be framed in a regime consisting of a surface mixed layer (SML), euphotic zone (EZ), and bottom mixed layer (BML), each of uniform depth (Figure 4).  Suppose the widespread bloom observed in the satellite</w:t>
      </w:r>
      <w:r w:rsidR="003A6036">
        <w:rPr>
          <w:rFonts w:ascii="Times New Roman" w:hAnsi="Times New Roman" w:cs="Times New Roman"/>
          <w:sz w:val="24"/>
          <w:szCs w:val="24"/>
        </w:rPr>
        <w:t xml:space="preserve"> image on April 22 (Figure </w:t>
      </w:r>
      <w:r>
        <w:rPr>
          <w:rFonts w:ascii="Times New Roman" w:hAnsi="Times New Roman" w:cs="Times New Roman"/>
          <w:sz w:val="24"/>
          <w:szCs w:val="24"/>
        </w:rPr>
        <w:t xml:space="preserve">1) was confined to the mixed layer over the shelf, except for the region where the SML and </w:t>
      </w:r>
      <w:r w:rsidR="003A6036">
        <w:rPr>
          <w:rFonts w:ascii="Times New Roman" w:hAnsi="Times New Roman" w:cs="Times New Roman"/>
          <w:sz w:val="24"/>
          <w:szCs w:val="24"/>
        </w:rPr>
        <w:t xml:space="preserve">BML intersect (Figure </w:t>
      </w:r>
      <w:r>
        <w:rPr>
          <w:rFonts w:ascii="Times New Roman" w:hAnsi="Times New Roman" w:cs="Times New Roman"/>
          <w:sz w:val="24"/>
          <w:szCs w:val="24"/>
        </w:rPr>
        <w:t xml:space="preserve">4, top).  If the near-surface bloom were to terminate due to exhaustion of the nutrient inventory in the SML, it may sink down to the BML as a result.  Based on climatology (Zhang et al., 2013), we expect the BML to have an ample supply of nutrients.  Therefore, the bloom could continue to thrive in the region where the BML is in contact with the euphotic zone—thus setting the across-shelf extent of the BML population.  Irradiance observations at station A2 indicate a 1% light depth of ca. 40m, which would be sufficient to illuminate the top of the BML.  A subsurface oxygen maximum overlying the BML is consistent with the notion that the deep </w:t>
      </w:r>
      <w:r w:rsidRPr="00DB3B03">
        <w:rPr>
          <w:rFonts w:ascii="Times New Roman" w:hAnsi="Times New Roman" w:cs="Times New Roman"/>
          <w:i/>
          <w:sz w:val="24"/>
          <w:szCs w:val="24"/>
        </w:rPr>
        <w:t>Phaeocystis</w:t>
      </w:r>
      <w:r>
        <w:rPr>
          <w:rFonts w:ascii="Times New Roman" w:hAnsi="Times New Roman" w:cs="Times New Roman"/>
          <w:sz w:val="24"/>
          <w:szCs w:val="24"/>
        </w:rPr>
        <w:t xml:space="preserve"> population is actively photosynthesizing.  The VPR survey into the high-Chl region of the April 23 satellite image reveals distributions of </w:t>
      </w:r>
      <w:r w:rsidRPr="00DB3B03">
        <w:rPr>
          <w:rFonts w:ascii="Times New Roman" w:hAnsi="Times New Roman" w:cs="Times New Roman"/>
          <w:i/>
          <w:sz w:val="24"/>
          <w:szCs w:val="24"/>
        </w:rPr>
        <w:t>Phaeocystis</w:t>
      </w:r>
      <w:r>
        <w:rPr>
          <w:rFonts w:ascii="Times New Roman" w:hAnsi="Times New Roman" w:cs="Times New Roman"/>
          <w:i/>
          <w:sz w:val="24"/>
          <w:szCs w:val="24"/>
        </w:rPr>
        <w:t xml:space="preserve"> </w:t>
      </w:r>
      <w:r>
        <w:rPr>
          <w:rFonts w:ascii="Times New Roman" w:hAnsi="Times New Roman" w:cs="Times New Roman"/>
          <w:sz w:val="24"/>
          <w:szCs w:val="24"/>
        </w:rPr>
        <w:t>relative to hydrographic, bio-optical, and structure that is roughly consistent with the conceptual model (Figure 0428.3).</w:t>
      </w:r>
    </w:p>
    <w:p w:rsidR="00496468" w:rsidRPr="00496468" w:rsidRDefault="00496468" w:rsidP="00496468">
      <w:pPr>
        <w:spacing w:after="0" w:line="240" w:lineRule="auto"/>
        <w:ind w:firstLine="720"/>
        <w:rPr>
          <w:rFonts w:ascii="Times New Roman" w:hAnsi="Times New Roman" w:cs="Times New Roman"/>
          <w:b/>
          <w:sz w:val="24"/>
          <w:szCs w:val="24"/>
        </w:rPr>
      </w:pPr>
      <w:r w:rsidRPr="00496468">
        <w:rPr>
          <w:rFonts w:ascii="Times New Roman" w:hAnsi="Times New Roman" w:cs="Times New Roman"/>
          <w:b/>
          <w:sz w:val="24"/>
          <w:szCs w:val="24"/>
        </w:rPr>
        <w:t xml:space="preserve">The VPR provided critical technology to adaptively sample this unusual regional bloom of </w:t>
      </w:r>
      <w:r w:rsidRPr="00496468">
        <w:rPr>
          <w:rFonts w:ascii="Times New Roman" w:hAnsi="Times New Roman" w:cs="Times New Roman"/>
          <w:b/>
          <w:i/>
          <w:sz w:val="24"/>
          <w:szCs w:val="24"/>
        </w:rPr>
        <w:t>Phaeocystis</w:t>
      </w:r>
      <w:r w:rsidRPr="00496468">
        <w:rPr>
          <w:rFonts w:ascii="Times New Roman" w:hAnsi="Times New Roman" w:cs="Times New Roman"/>
          <w:b/>
          <w:sz w:val="24"/>
          <w:szCs w:val="24"/>
        </w:rPr>
        <w:t>.  A short video describing the at-sea operation is available online</w:t>
      </w:r>
      <w:r w:rsidRPr="00496468">
        <w:rPr>
          <w:rStyle w:val="FootnoteReference"/>
          <w:rFonts w:ascii="Times New Roman" w:hAnsi="Times New Roman" w:cs="Times New Roman"/>
          <w:b/>
          <w:sz w:val="24"/>
          <w:szCs w:val="24"/>
        </w:rPr>
        <w:footnoteReference w:id="1"/>
      </w:r>
      <w:r w:rsidRPr="00496468">
        <w:rPr>
          <w:rFonts w:ascii="Times New Roman" w:hAnsi="Times New Roman" w:cs="Times New Roman"/>
          <w:b/>
          <w:sz w:val="24"/>
          <w:szCs w:val="24"/>
        </w:rPr>
        <w:t xml:space="preserve">. This bloom is of particular interest from an ecosystem perspective, insofar as the colonial form of </w:t>
      </w:r>
      <w:r w:rsidRPr="00496468">
        <w:rPr>
          <w:rFonts w:ascii="Times New Roman" w:hAnsi="Times New Roman" w:cs="Times New Roman"/>
          <w:b/>
          <w:i/>
          <w:sz w:val="24"/>
          <w:szCs w:val="24"/>
        </w:rPr>
        <w:t>Phaeocystis</w:t>
      </w:r>
      <w:r w:rsidRPr="00496468">
        <w:rPr>
          <w:rFonts w:ascii="Times New Roman" w:hAnsi="Times New Roman" w:cs="Times New Roman"/>
          <w:b/>
          <w:sz w:val="24"/>
          <w:szCs w:val="24"/>
        </w:rPr>
        <w:t xml:space="preserve"> tends to be resistant to grazing by zooplankton.  In circumstances when a large fraction of the primary production is comprised by these unpalatable algae, the ramifications for higher trophic levels could be substantial.</w:t>
      </w:r>
    </w:p>
    <w:p w:rsidR="00496468" w:rsidRDefault="00496468" w:rsidP="00496468">
      <w:pPr>
        <w:spacing w:after="0" w:line="240" w:lineRule="auto"/>
        <w:rPr>
          <w:rFonts w:ascii="Times New Roman" w:hAnsi="Times New Roman" w:cs="Times New Roman"/>
          <w:sz w:val="24"/>
          <w:szCs w:val="24"/>
        </w:rPr>
      </w:pPr>
    </w:p>
    <w:p w:rsidR="00496468" w:rsidRDefault="00496468" w:rsidP="00496468">
      <w:pPr>
        <w:spacing w:after="0" w:line="240" w:lineRule="auto"/>
        <w:rPr>
          <w:rFonts w:ascii="Times New Roman" w:hAnsi="Times New Roman" w:cs="Times New Roman"/>
          <w:sz w:val="24"/>
          <w:szCs w:val="24"/>
        </w:rPr>
      </w:pPr>
    </w:p>
    <w:p w:rsidR="00496468" w:rsidRDefault="00496468" w:rsidP="0049646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7D4C81" wp14:editId="1CECEBE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o_report.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96468" w:rsidRPr="00B725F3" w:rsidRDefault="00496468" w:rsidP="00496468">
      <w:pPr>
        <w:spacing w:after="0" w:line="240" w:lineRule="auto"/>
        <w:rPr>
          <w:rFonts w:ascii="Times New Roman" w:hAnsi="Times New Roman" w:cs="Times New Roman"/>
          <w:sz w:val="24"/>
          <w:szCs w:val="24"/>
        </w:rPr>
      </w:pPr>
      <w:r w:rsidRPr="00B725F3">
        <w:rPr>
          <w:rFonts w:ascii="Times New Roman" w:hAnsi="Times New Roman" w:cs="Times New Roman"/>
          <w:sz w:val="24"/>
          <w:szCs w:val="24"/>
        </w:rPr>
        <w:tab/>
        <w:t xml:space="preserve"> </w:t>
      </w:r>
    </w:p>
    <w:p w:rsidR="00496468" w:rsidRPr="00B725F3" w:rsidRDefault="00496468" w:rsidP="00496468">
      <w:pPr>
        <w:spacing w:after="0" w:line="240" w:lineRule="auto"/>
        <w:rPr>
          <w:rFonts w:ascii="Times New Roman" w:hAnsi="Times New Roman" w:cs="Times New Roman"/>
          <w:sz w:val="24"/>
          <w:szCs w:val="24"/>
        </w:rPr>
      </w:pPr>
      <w:r w:rsidRPr="00B725F3">
        <w:rPr>
          <w:rFonts w:ascii="Times New Roman" w:hAnsi="Times New Roman" w:cs="Times New Roman"/>
          <w:sz w:val="24"/>
          <w:szCs w:val="24"/>
        </w:rPr>
        <w:t xml:space="preserve"> </w:t>
      </w:r>
      <w:r w:rsidRPr="00B725F3">
        <w:rPr>
          <w:rFonts w:ascii="Times New Roman" w:hAnsi="Times New Roman" w:cs="Times New Roman"/>
          <w:sz w:val="24"/>
          <w:szCs w:val="24"/>
        </w:rPr>
        <w:tab/>
        <w:t xml:space="preserve"> </w:t>
      </w:r>
    </w:p>
    <w:p w:rsidR="00496468" w:rsidRPr="001D5022" w:rsidRDefault="00496468" w:rsidP="00496468">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Figure 1.</w:t>
      </w:r>
      <w:proofErr w:type="gramEnd"/>
      <w:r>
        <w:rPr>
          <w:rFonts w:ascii="Times New Roman" w:hAnsi="Times New Roman" w:cs="Times New Roman"/>
          <w:sz w:val="24"/>
          <w:szCs w:val="24"/>
        </w:rPr>
        <w:t xml:space="preserve">  Left: satellite images of surface ocean chlorophyll on 22 and 23 April 2018.  White circles indicate the cross-shelf line of stations on which the voyage was focused, and the cruise track is shown as a thin black line. Upper right: VPR image of </w:t>
      </w:r>
      <w:r w:rsidRPr="00B965E8">
        <w:rPr>
          <w:rFonts w:ascii="Times New Roman" w:hAnsi="Times New Roman" w:cs="Times New Roman"/>
          <w:i/>
          <w:sz w:val="24"/>
          <w:szCs w:val="24"/>
        </w:rPr>
        <w:t>Phaeocystis</w:t>
      </w:r>
      <w:r>
        <w:rPr>
          <w:rFonts w:ascii="Times New Roman" w:hAnsi="Times New Roman" w:cs="Times New Roman"/>
          <w:sz w:val="24"/>
          <w:szCs w:val="24"/>
        </w:rPr>
        <w:t xml:space="preserve"> colonies.  Lower right: VPR transect of optical backscatter, which is a proxy for </w:t>
      </w:r>
      <w:r w:rsidRPr="00B965E8">
        <w:rPr>
          <w:rFonts w:ascii="Times New Roman" w:hAnsi="Times New Roman" w:cs="Times New Roman"/>
          <w:i/>
          <w:sz w:val="24"/>
          <w:szCs w:val="24"/>
        </w:rPr>
        <w:t>Phaeocystis</w:t>
      </w:r>
      <w:r>
        <w:rPr>
          <w:rFonts w:ascii="Times New Roman" w:hAnsi="Times New Roman" w:cs="Times New Roman"/>
          <w:sz w:val="24"/>
          <w:szCs w:val="24"/>
        </w:rPr>
        <w:t xml:space="preserve"> abundance in this case.  Note the orientation of the axes is looking down toward the southeast, with the VPR survey track plotted in bold on the April 23 image.</w:t>
      </w:r>
    </w:p>
    <w:p w:rsidR="00A64405" w:rsidRDefault="00A64405" w:rsidP="00A64405">
      <w:pPr>
        <w:spacing w:after="0" w:line="240" w:lineRule="auto"/>
        <w:rPr>
          <w:rFonts w:ascii="Times New Roman" w:hAnsi="Times New Roman" w:cs="Times New Roman"/>
          <w:sz w:val="24"/>
          <w:szCs w:val="24"/>
        </w:rPr>
      </w:pPr>
    </w:p>
    <w:p w:rsidR="00496468" w:rsidRDefault="00496468" w:rsidP="00A64405">
      <w:pPr>
        <w:spacing w:after="0" w:line="240" w:lineRule="auto"/>
        <w:rPr>
          <w:rFonts w:ascii="Times New Roman" w:hAnsi="Times New Roman" w:cs="Times New Roman"/>
          <w:sz w:val="24"/>
          <w:szCs w:val="24"/>
        </w:rPr>
      </w:pPr>
    </w:p>
    <w:p w:rsidR="00DD2D44" w:rsidRDefault="00DD2D44" w:rsidP="001D5022">
      <w:pPr>
        <w:spacing w:after="0" w:line="240" w:lineRule="auto"/>
        <w:rPr>
          <w:rFonts w:ascii="Times New Roman" w:hAnsi="Times New Roman" w:cs="Times New Roman"/>
          <w:sz w:val="24"/>
          <w:szCs w:val="24"/>
        </w:rPr>
      </w:pPr>
    </w:p>
    <w:p w:rsidR="00A64405" w:rsidRDefault="00A64405" w:rsidP="001D5022">
      <w:pPr>
        <w:spacing w:after="0" w:line="240" w:lineRule="auto"/>
        <w:rPr>
          <w:rFonts w:ascii="Times New Roman" w:hAnsi="Times New Roman" w:cs="Times New Roman"/>
          <w:sz w:val="24"/>
          <w:szCs w:val="24"/>
        </w:rPr>
      </w:pPr>
    </w:p>
    <w:p w:rsidR="00A64405" w:rsidRDefault="00A64405" w:rsidP="001D5022">
      <w:pPr>
        <w:spacing w:after="0" w:line="240" w:lineRule="auto"/>
        <w:rPr>
          <w:rFonts w:ascii="Times New Roman" w:hAnsi="Times New Roman" w:cs="Times New Roman"/>
          <w:sz w:val="24"/>
          <w:szCs w:val="24"/>
        </w:rPr>
      </w:pPr>
    </w:p>
    <w:p w:rsidR="00A64405" w:rsidRDefault="00A64405" w:rsidP="001D5022">
      <w:pPr>
        <w:spacing w:after="0" w:line="240" w:lineRule="auto"/>
        <w:rPr>
          <w:rFonts w:ascii="Times New Roman" w:hAnsi="Times New Roman" w:cs="Times New Roman"/>
          <w:sz w:val="24"/>
          <w:szCs w:val="24"/>
        </w:rPr>
      </w:pPr>
    </w:p>
    <w:p w:rsidR="00A64405" w:rsidRDefault="00A64405" w:rsidP="001D5022">
      <w:pPr>
        <w:spacing w:after="0" w:line="240" w:lineRule="auto"/>
        <w:rPr>
          <w:rFonts w:ascii="Times New Roman" w:hAnsi="Times New Roman" w:cs="Times New Roman"/>
          <w:sz w:val="24"/>
          <w:szCs w:val="24"/>
        </w:rPr>
      </w:pPr>
    </w:p>
    <w:p w:rsidR="00A64405" w:rsidRDefault="00A64405" w:rsidP="001D5022">
      <w:pPr>
        <w:spacing w:after="0" w:line="240" w:lineRule="auto"/>
        <w:rPr>
          <w:rFonts w:ascii="Times New Roman" w:hAnsi="Times New Roman" w:cs="Times New Roman"/>
          <w:sz w:val="24"/>
          <w:szCs w:val="24"/>
        </w:rPr>
      </w:pPr>
    </w:p>
    <w:p w:rsidR="00A64405" w:rsidRDefault="00A64405" w:rsidP="001D5022">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88"/>
        <w:gridCol w:w="4788"/>
      </w:tblGrid>
      <w:tr w:rsidR="00A64405" w:rsidTr="00944749">
        <w:tc>
          <w:tcPr>
            <w:tcW w:w="0" w:type="auto"/>
          </w:tcPr>
          <w:p w:rsidR="00A64405" w:rsidRDefault="00A64405" w:rsidP="0094474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0382AD" wp14:editId="13B8F3CD">
                  <wp:extent cx="2743200" cy="3600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82-97_trans16_tsr_conducticity2_isoha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3600450"/>
                          </a:xfrm>
                          <a:prstGeom prst="rect">
                            <a:avLst/>
                          </a:prstGeom>
                        </pic:spPr>
                      </pic:pic>
                    </a:graphicData>
                  </a:graphic>
                </wp:inline>
              </w:drawing>
            </w:r>
          </w:p>
        </w:tc>
        <w:tc>
          <w:tcPr>
            <w:tcW w:w="0" w:type="auto"/>
          </w:tcPr>
          <w:p w:rsidR="00A64405" w:rsidRDefault="00A64405" w:rsidP="0094474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6DC7DB" wp14:editId="4398E1DE">
                  <wp:extent cx="2743200" cy="3600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82-97_trans16_chlturbo2_isohal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3600450"/>
                          </a:xfrm>
                          <a:prstGeom prst="rect">
                            <a:avLst/>
                          </a:prstGeom>
                        </pic:spPr>
                      </pic:pic>
                    </a:graphicData>
                  </a:graphic>
                </wp:inline>
              </w:drawing>
            </w:r>
          </w:p>
        </w:tc>
      </w:tr>
      <w:tr w:rsidR="00A64405" w:rsidTr="00944749">
        <w:tc>
          <w:tcPr>
            <w:tcW w:w="0" w:type="auto"/>
            <w:gridSpan w:val="2"/>
          </w:tcPr>
          <w:p w:rsidR="00A64405" w:rsidRDefault="003A6036" w:rsidP="00944749">
            <w:pPr>
              <w:rPr>
                <w:rFonts w:ascii="Times New Roman" w:hAnsi="Times New Roman" w:cs="Times New Roman"/>
                <w:sz w:val="24"/>
                <w:szCs w:val="24"/>
              </w:rPr>
            </w:pPr>
            <w:r>
              <w:rPr>
                <w:rFonts w:ascii="Times New Roman" w:hAnsi="Times New Roman" w:cs="Times New Roman"/>
                <w:sz w:val="24"/>
                <w:szCs w:val="24"/>
              </w:rPr>
              <w:t xml:space="preserve">Figure </w:t>
            </w:r>
            <w:r w:rsidR="00A64405">
              <w:rPr>
                <w:rFonts w:ascii="Times New Roman" w:hAnsi="Times New Roman" w:cs="Times New Roman"/>
                <w:sz w:val="24"/>
                <w:szCs w:val="24"/>
              </w:rPr>
              <w:t>2:  April 23 CTD section.  Note the change in color bar for chlorophyll fluorescence (upper right).</w:t>
            </w:r>
          </w:p>
        </w:tc>
      </w:tr>
    </w:tbl>
    <w:p w:rsidR="00A64405" w:rsidRDefault="00A64405" w:rsidP="001D5022">
      <w:pPr>
        <w:spacing w:after="0" w:line="240" w:lineRule="auto"/>
        <w:rPr>
          <w:rFonts w:ascii="Times New Roman" w:hAnsi="Times New Roman" w:cs="Times New Roman"/>
          <w:sz w:val="24"/>
          <w:szCs w:val="24"/>
        </w:rPr>
      </w:pPr>
    </w:p>
    <w:p w:rsidR="00A64405" w:rsidRDefault="00A64405" w:rsidP="001D5022">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36"/>
        <w:gridCol w:w="4536"/>
      </w:tblGrid>
      <w:tr w:rsidR="00A64405" w:rsidTr="00944749">
        <w:tc>
          <w:tcPr>
            <w:tcW w:w="0" w:type="auto"/>
          </w:tcPr>
          <w:p w:rsidR="00A64405" w:rsidRDefault="00A64405" w:rsidP="0094474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68597C" wp14:editId="623DCF59">
                  <wp:extent cx="2743200" cy="3600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114-129_trans21_tsr_conductivity2_isoha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3600450"/>
                          </a:xfrm>
                          <a:prstGeom prst="rect">
                            <a:avLst/>
                          </a:prstGeom>
                        </pic:spPr>
                      </pic:pic>
                    </a:graphicData>
                  </a:graphic>
                </wp:inline>
              </w:drawing>
            </w:r>
          </w:p>
        </w:tc>
        <w:tc>
          <w:tcPr>
            <w:tcW w:w="0" w:type="auto"/>
          </w:tcPr>
          <w:p w:rsidR="00A64405" w:rsidRDefault="00A64405" w:rsidP="0094474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487959" wp14:editId="0F643A61">
                  <wp:extent cx="2743200" cy="3600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114-129_trans21_chlturbo2_isoha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3600450"/>
                          </a:xfrm>
                          <a:prstGeom prst="rect">
                            <a:avLst/>
                          </a:prstGeom>
                        </pic:spPr>
                      </pic:pic>
                    </a:graphicData>
                  </a:graphic>
                </wp:inline>
              </w:drawing>
            </w:r>
          </w:p>
        </w:tc>
      </w:tr>
      <w:tr w:rsidR="00A64405" w:rsidTr="00944749">
        <w:tc>
          <w:tcPr>
            <w:tcW w:w="0" w:type="auto"/>
            <w:gridSpan w:val="2"/>
          </w:tcPr>
          <w:p w:rsidR="00A64405" w:rsidRDefault="003A6036" w:rsidP="00944749">
            <w:pPr>
              <w:rPr>
                <w:rFonts w:ascii="Times New Roman" w:hAnsi="Times New Roman" w:cs="Times New Roman"/>
                <w:sz w:val="24"/>
                <w:szCs w:val="24"/>
              </w:rPr>
            </w:pPr>
            <w:r>
              <w:rPr>
                <w:rFonts w:ascii="Times New Roman" w:hAnsi="Times New Roman" w:cs="Times New Roman"/>
                <w:sz w:val="24"/>
                <w:szCs w:val="24"/>
              </w:rPr>
              <w:t>Figure 3</w:t>
            </w:r>
            <w:r w:rsidR="00A64405">
              <w:rPr>
                <w:rFonts w:ascii="Times New Roman" w:hAnsi="Times New Roman" w:cs="Times New Roman"/>
                <w:sz w:val="24"/>
                <w:szCs w:val="24"/>
              </w:rPr>
              <w:t>:  April 25-26 CTD section.</w:t>
            </w:r>
          </w:p>
        </w:tc>
      </w:tr>
    </w:tbl>
    <w:p w:rsidR="00A64405" w:rsidRDefault="00A64405" w:rsidP="001D5022">
      <w:pPr>
        <w:spacing w:after="0" w:line="240" w:lineRule="auto"/>
        <w:rPr>
          <w:rFonts w:ascii="Times New Roman" w:hAnsi="Times New Roman" w:cs="Times New Roman"/>
          <w:sz w:val="24"/>
          <w:szCs w:val="24"/>
        </w:rPr>
      </w:pPr>
    </w:p>
    <w:p w:rsidR="00A64405" w:rsidRDefault="00A64405" w:rsidP="001D5022">
      <w:pPr>
        <w:spacing w:after="0" w:line="240" w:lineRule="auto"/>
        <w:rPr>
          <w:rFonts w:ascii="Times New Roman" w:hAnsi="Times New Roman" w:cs="Times New Roman"/>
          <w:sz w:val="24"/>
          <w:szCs w:val="24"/>
        </w:rPr>
      </w:pPr>
    </w:p>
    <w:p w:rsidR="00A64405" w:rsidRDefault="00A64405" w:rsidP="001D5022">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048"/>
      </w:tblGrid>
      <w:tr w:rsidR="00A64405" w:rsidTr="00944749">
        <w:tc>
          <w:tcPr>
            <w:tcW w:w="6048" w:type="dxa"/>
          </w:tcPr>
          <w:p w:rsidR="00A64405" w:rsidRDefault="00A64405" w:rsidP="0094474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E2CC16" wp14:editId="6FBC2C2D">
                  <wp:extent cx="3657600" cy="55880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04.JPG"/>
                          <pic:cNvPicPr/>
                        </pic:nvPicPr>
                        <pic:blipFill rotWithShape="1">
                          <a:blip r:embed="rId12" cstate="print">
                            <a:extLst>
                              <a:ext uri="{28A0092B-C50C-407E-A947-70E740481C1C}">
                                <a14:useLocalDpi xmlns:a14="http://schemas.microsoft.com/office/drawing/2010/main" val="0"/>
                              </a:ext>
                            </a:extLst>
                          </a:blip>
                          <a:srcRect l="11367" t="1204" r="6787" b="5015"/>
                          <a:stretch/>
                        </pic:blipFill>
                        <pic:spPr bwMode="auto">
                          <a:xfrm>
                            <a:off x="0" y="0"/>
                            <a:ext cx="3657600" cy="5588001"/>
                          </a:xfrm>
                          <a:prstGeom prst="rect">
                            <a:avLst/>
                          </a:prstGeom>
                          <a:ln>
                            <a:noFill/>
                          </a:ln>
                          <a:extLst>
                            <a:ext uri="{53640926-AAD7-44D8-BBD7-CCE9431645EC}">
                              <a14:shadowObscured xmlns:a14="http://schemas.microsoft.com/office/drawing/2010/main"/>
                            </a:ext>
                          </a:extLst>
                        </pic:spPr>
                      </pic:pic>
                    </a:graphicData>
                  </a:graphic>
                </wp:inline>
              </w:drawing>
            </w:r>
          </w:p>
        </w:tc>
      </w:tr>
      <w:tr w:rsidR="00A64405" w:rsidTr="00944749">
        <w:tc>
          <w:tcPr>
            <w:tcW w:w="6048" w:type="dxa"/>
          </w:tcPr>
          <w:p w:rsidR="00A64405" w:rsidRDefault="00A64405" w:rsidP="00944749">
            <w:pPr>
              <w:rPr>
                <w:rFonts w:ascii="Times New Roman" w:hAnsi="Times New Roman" w:cs="Times New Roman"/>
                <w:sz w:val="24"/>
                <w:szCs w:val="24"/>
              </w:rPr>
            </w:pPr>
            <w:r>
              <w:rPr>
                <w:rFonts w:ascii="Times New Roman" w:hAnsi="Times New Roman" w:cs="Times New Roman"/>
                <w:sz w:val="24"/>
                <w:szCs w:val="24"/>
              </w:rPr>
              <w:t xml:space="preserve">Figure 4:  Conceptual model for how bottom boundary layer turbulence could sustain a regional bloom of </w:t>
            </w:r>
            <w:r w:rsidRPr="005144DF">
              <w:rPr>
                <w:rFonts w:ascii="Times New Roman" w:hAnsi="Times New Roman" w:cs="Times New Roman"/>
                <w:i/>
                <w:sz w:val="24"/>
                <w:szCs w:val="24"/>
              </w:rPr>
              <w:t>Phaeocystis</w:t>
            </w:r>
            <w:r>
              <w:rPr>
                <w:rFonts w:ascii="Times New Roman" w:hAnsi="Times New Roman" w:cs="Times New Roman"/>
                <w:sz w:val="24"/>
                <w:szCs w:val="24"/>
              </w:rPr>
              <w:t>.</w:t>
            </w:r>
          </w:p>
        </w:tc>
      </w:tr>
    </w:tbl>
    <w:p w:rsidR="00A64405" w:rsidRPr="001D5022" w:rsidRDefault="00A64405" w:rsidP="00A64405">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36"/>
        <w:gridCol w:w="4536"/>
      </w:tblGrid>
      <w:tr w:rsidR="003A6036" w:rsidTr="00944749">
        <w:tc>
          <w:tcPr>
            <w:tcW w:w="0" w:type="auto"/>
          </w:tcPr>
          <w:p w:rsidR="003A6036" w:rsidRDefault="003A6036" w:rsidP="00944749">
            <w:pPr>
              <w:rPr>
                <w:rFonts w:ascii="Times New Roman" w:hAnsi="Times New Roman" w:cs="Times New Roman"/>
                <w:sz w:val="24"/>
                <w:szCs w:val="24"/>
              </w:rPr>
            </w:pPr>
            <w:r>
              <w:rPr>
                <w:noProof/>
              </w:rPr>
              <w:lastRenderedPageBreak/>
              <w:drawing>
                <wp:inline distT="0" distB="0" distL="0" distR="0" wp14:anchorId="4D7F79BC" wp14:editId="2E6DFF1C">
                  <wp:extent cx="2743200" cy="2167248"/>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395" t="18352" r="5758" b="13296"/>
                          <a:stretch/>
                        </pic:blipFill>
                        <pic:spPr bwMode="auto">
                          <a:xfrm>
                            <a:off x="0" y="0"/>
                            <a:ext cx="2743200" cy="216724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rsidR="003A6036" w:rsidRDefault="003A6036" w:rsidP="00944749">
            <w:pPr>
              <w:rPr>
                <w:rFonts w:ascii="Times New Roman" w:hAnsi="Times New Roman" w:cs="Times New Roman"/>
                <w:sz w:val="24"/>
                <w:szCs w:val="24"/>
              </w:rPr>
            </w:pPr>
            <w:r>
              <w:rPr>
                <w:noProof/>
              </w:rPr>
              <w:drawing>
                <wp:inline distT="0" distB="0" distL="0" distR="0" wp14:anchorId="4CE09888" wp14:editId="5F487E8F">
                  <wp:extent cx="2743200" cy="22361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568" t="14982" r="5624" b="6554"/>
                          <a:stretch/>
                        </pic:blipFill>
                        <pic:spPr bwMode="auto">
                          <a:xfrm>
                            <a:off x="0" y="0"/>
                            <a:ext cx="2743200" cy="2236189"/>
                          </a:xfrm>
                          <a:prstGeom prst="rect">
                            <a:avLst/>
                          </a:prstGeom>
                          <a:ln>
                            <a:noFill/>
                          </a:ln>
                          <a:extLst>
                            <a:ext uri="{53640926-AAD7-44D8-BBD7-CCE9431645EC}">
                              <a14:shadowObscured xmlns:a14="http://schemas.microsoft.com/office/drawing/2010/main"/>
                            </a:ext>
                          </a:extLst>
                        </pic:spPr>
                      </pic:pic>
                    </a:graphicData>
                  </a:graphic>
                </wp:inline>
              </w:drawing>
            </w:r>
          </w:p>
        </w:tc>
      </w:tr>
      <w:tr w:rsidR="003A6036" w:rsidTr="00944749">
        <w:tc>
          <w:tcPr>
            <w:tcW w:w="0" w:type="auto"/>
          </w:tcPr>
          <w:p w:rsidR="003A6036" w:rsidRDefault="003A6036" w:rsidP="00944749">
            <w:pPr>
              <w:rPr>
                <w:rFonts w:ascii="Times New Roman" w:hAnsi="Times New Roman" w:cs="Times New Roman"/>
                <w:sz w:val="24"/>
                <w:szCs w:val="24"/>
              </w:rPr>
            </w:pPr>
            <w:r>
              <w:rPr>
                <w:noProof/>
              </w:rPr>
              <w:drawing>
                <wp:inline distT="0" distB="0" distL="0" distR="0" wp14:anchorId="7B2C1607" wp14:editId="655601D4">
                  <wp:extent cx="2743200" cy="24628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530" t="16105" r="5890" b="6554"/>
                          <a:stretch/>
                        </pic:blipFill>
                        <pic:spPr bwMode="auto">
                          <a:xfrm>
                            <a:off x="0" y="0"/>
                            <a:ext cx="2743200" cy="2462879"/>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rsidR="003A6036" w:rsidRDefault="003A6036" w:rsidP="00944749">
            <w:pPr>
              <w:rPr>
                <w:rFonts w:ascii="Times New Roman" w:hAnsi="Times New Roman" w:cs="Times New Roman"/>
                <w:sz w:val="24"/>
                <w:szCs w:val="24"/>
              </w:rPr>
            </w:pPr>
            <w:r>
              <w:rPr>
                <w:noProof/>
              </w:rPr>
              <w:drawing>
                <wp:inline distT="0" distB="0" distL="0" distR="0" wp14:anchorId="2F910273" wp14:editId="6917C6D9">
                  <wp:extent cx="2743200" cy="21221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692" t="14821" r="5095" b="3684"/>
                          <a:stretch/>
                        </pic:blipFill>
                        <pic:spPr bwMode="auto">
                          <a:xfrm>
                            <a:off x="0" y="0"/>
                            <a:ext cx="2743200" cy="2122190"/>
                          </a:xfrm>
                          <a:prstGeom prst="rect">
                            <a:avLst/>
                          </a:prstGeom>
                          <a:ln>
                            <a:noFill/>
                          </a:ln>
                          <a:extLst>
                            <a:ext uri="{53640926-AAD7-44D8-BBD7-CCE9431645EC}">
                              <a14:shadowObscured xmlns:a14="http://schemas.microsoft.com/office/drawing/2010/main"/>
                            </a:ext>
                          </a:extLst>
                        </pic:spPr>
                      </pic:pic>
                    </a:graphicData>
                  </a:graphic>
                </wp:inline>
              </w:drawing>
            </w:r>
          </w:p>
        </w:tc>
      </w:tr>
      <w:tr w:rsidR="003A6036" w:rsidTr="00944749">
        <w:tc>
          <w:tcPr>
            <w:tcW w:w="0" w:type="auto"/>
            <w:gridSpan w:val="2"/>
          </w:tcPr>
          <w:p w:rsidR="003A6036" w:rsidRDefault="003A6036" w:rsidP="003A6036">
            <w:pPr>
              <w:rPr>
                <w:rFonts w:ascii="Times New Roman" w:hAnsi="Times New Roman" w:cs="Times New Roman"/>
                <w:sz w:val="24"/>
                <w:szCs w:val="24"/>
              </w:rPr>
            </w:pPr>
            <w:r>
              <w:rPr>
                <w:rFonts w:ascii="Times New Roman" w:hAnsi="Times New Roman" w:cs="Times New Roman"/>
                <w:sz w:val="24"/>
                <w:szCs w:val="24"/>
              </w:rPr>
              <w:t>Figure 5:  VPR survey carried out 28 April 2018.  Cruise track shown in Figure 1.</w:t>
            </w:r>
          </w:p>
        </w:tc>
      </w:tr>
    </w:tbl>
    <w:p w:rsidR="00A64405" w:rsidRPr="001D5022" w:rsidRDefault="00A64405" w:rsidP="001D5022">
      <w:pPr>
        <w:spacing w:after="0" w:line="240" w:lineRule="auto"/>
        <w:rPr>
          <w:rFonts w:ascii="Times New Roman" w:hAnsi="Times New Roman" w:cs="Times New Roman"/>
          <w:sz w:val="24"/>
          <w:szCs w:val="24"/>
        </w:rPr>
      </w:pPr>
    </w:p>
    <w:sectPr w:rsidR="00A64405" w:rsidRPr="001D502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2FA" w:rsidRDefault="009312FA" w:rsidP="001D5022">
      <w:pPr>
        <w:spacing w:after="0" w:line="240" w:lineRule="auto"/>
      </w:pPr>
      <w:r>
        <w:separator/>
      </w:r>
    </w:p>
  </w:endnote>
  <w:endnote w:type="continuationSeparator" w:id="0">
    <w:p w:rsidR="009312FA" w:rsidRDefault="009312FA" w:rsidP="001D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782869"/>
      <w:docPartObj>
        <w:docPartGallery w:val="Page Numbers (Bottom of Page)"/>
        <w:docPartUnique/>
      </w:docPartObj>
    </w:sdtPr>
    <w:sdtEndPr>
      <w:rPr>
        <w:rFonts w:ascii="Times New Roman" w:hAnsi="Times New Roman" w:cs="Times New Roman"/>
        <w:noProof/>
        <w:sz w:val="24"/>
        <w:szCs w:val="24"/>
      </w:rPr>
    </w:sdtEndPr>
    <w:sdtContent>
      <w:p w:rsidR="001D5022" w:rsidRPr="001D5022" w:rsidRDefault="001D5022">
        <w:pPr>
          <w:pStyle w:val="Footer"/>
          <w:jc w:val="center"/>
          <w:rPr>
            <w:rFonts w:ascii="Times New Roman" w:hAnsi="Times New Roman" w:cs="Times New Roman"/>
            <w:sz w:val="24"/>
            <w:szCs w:val="24"/>
          </w:rPr>
        </w:pPr>
        <w:r w:rsidRPr="001D5022">
          <w:rPr>
            <w:rFonts w:ascii="Times New Roman" w:hAnsi="Times New Roman" w:cs="Times New Roman"/>
            <w:sz w:val="24"/>
            <w:szCs w:val="24"/>
          </w:rPr>
          <w:fldChar w:fldCharType="begin"/>
        </w:r>
        <w:r w:rsidRPr="001D5022">
          <w:rPr>
            <w:rFonts w:ascii="Times New Roman" w:hAnsi="Times New Roman" w:cs="Times New Roman"/>
            <w:sz w:val="24"/>
            <w:szCs w:val="24"/>
          </w:rPr>
          <w:instrText xml:space="preserve"> PAGE   \* MERGEFORMAT </w:instrText>
        </w:r>
        <w:r w:rsidRPr="001D5022">
          <w:rPr>
            <w:rFonts w:ascii="Times New Roman" w:hAnsi="Times New Roman" w:cs="Times New Roman"/>
            <w:sz w:val="24"/>
            <w:szCs w:val="24"/>
          </w:rPr>
          <w:fldChar w:fldCharType="separate"/>
        </w:r>
        <w:r w:rsidR="002020B8">
          <w:rPr>
            <w:rFonts w:ascii="Times New Roman" w:hAnsi="Times New Roman" w:cs="Times New Roman"/>
            <w:noProof/>
            <w:sz w:val="24"/>
            <w:szCs w:val="24"/>
          </w:rPr>
          <w:t>1</w:t>
        </w:r>
        <w:r w:rsidRPr="001D5022">
          <w:rPr>
            <w:rFonts w:ascii="Times New Roman" w:hAnsi="Times New Roman" w:cs="Times New Roman"/>
            <w:noProof/>
            <w:sz w:val="24"/>
            <w:szCs w:val="24"/>
          </w:rPr>
          <w:fldChar w:fldCharType="end"/>
        </w:r>
      </w:p>
    </w:sdtContent>
  </w:sdt>
  <w:p w:rsidR="001D5022" w:rsidRDefault="001D50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2FA" w:rsidRDefault="009312FA" w:rsidP="001D5022">
      <w:pPr>
        <w:spacing w:after="0" w:line="240" w:lineRule="auto"/>
      </w:pPr>
      <w:r>
        <w:separator/>
      </w:r>
    </w:p>
  </w:footnote>
  <w:footnote w:type="continuationSeparator" w:id="0">
    <w:p w:rsidR="009312FA" w:rsidRDefault="009312FA" w:rsidP="001D5022">
      <w:pPr>
        <w:spacing w:after="0" w:line="240" w:lineRule="auto"/>
      </w:pPr>
      <w:r>
        <w:continuationSeparator/>
      </w:r>
    </w:p>
  </w:footnote>
  <w:footnote w:id="1">
    <w:p w:rsidR="00496468" w:rsidRPr="003A6036" w:rsidRDefault="00496468" w:rsidP="00496468">
      <w:pPr>
        <w:pStyle w:val="FootnoteText"/>
        <w:rPr>
          <w:rFonts w:ascii="Times New Roman" w:hAnsi="Times New Roman" w:cs="Times New Roman"/>
        </w:rPr>
      </w:pPr>
      <w:r w:rsidRPr="003A6036">
        <w:rPr>
          <w:rStyle w:val="FootnoteReference"/>
          <w:rFonts w:ascii="Times New Roman" w:hAnsi="Times New Roman" w:cs="Times New Roman"/>
        </w:rPr>
        <w:footnoteRef/>
      </w:r>
      <w:r w:rsidRPr="003A6036">
        <w:rPr>
          <w:rFonts w:ascii="Times New Roman" w:hAnsi="Times New Roman" w:cs="Times New Roman"/>
        </w:rPr>
        <w:t xml:space="preserve"> </w:t>
      </w:r>
      <w:hyperlink r:id="rId1" w:history="1">
        <w:r w:rsidRPr="003A6036">
          <w:rPr>
            <w:rStyle w:val="Hyperlink"/>
            <w:rFonts w:ascii="Times New Roman" w:hAnsi="Times New Roman" w:cs="Times New Roman"/>
          </w:rPr>
          <w:t>http://science.whoi.edu/users/olga/SPIROPA/video/ar29vpr.mp4</w:t>
        </w:r>
      </w:hyperlink>
      <w:r w:rsidRPr="003A6036">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405"/>
    <w:rsid w:val="001D5022"/>
    <w:rsid w:val="002020B8"/>
    <w:rsid w:val="003A6036"/>
    <w:rsid w:val="003F4405"/>
    <w:rsid w:val="004866C7"/>
    <w:rsid w:val="00496468"/>
    <w:rsid w:val="008D4E62"/>
    <w:rsid w:val="009312FA"/>
    <w:rsid w:val="00A64405"/>
    <w:rsid w:val="00AD0832"/>
    <w:rsid w:val="00DA3B7B"/>
    <w:rsid w:val="00D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4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022"/>
  </w:style>
  <w:style w:type="paragraph" w:styleId="Footer">
    <w:name w:val="footer"/>
    <w:basedOn w:val="Normal"/>
    <w:link w:val="FooterChar"/>
    <w:uiPriority w:val="99"/>
    <w:unhideWhenUsed/>
    <w:rsid w:val="001D5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022"/>
  </w:style>
  <w:style w:type="table" w:styleId="TableGrid">
    <w:name w:val="Table Grid"/>
    <w:basedOn w:val="TableNormal"/>
    <w:rsid w:val="00A6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44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405"/>
    <w:rPr>
      <w:rFonts w:ascii="Tahoma" w:hAnsi="Tahoma" w:cs="Tahoma"/>
      <w:sz w:val="16"/>
      <w:szCs w:val="16"/>
    </w:rPr>
  </w:style>
  <w:style w:type="paragraph" w:styleId="FootnoteText">
    <w:name w:val="footnote text"/>
    <w:basedOn w:val="Normal"/>
    <w:link w:val="FootnoteTextChar"/>
    <w:uiPriority w:val="99"/>
    <w:semiHidden/>
    <w:unhideWhenUsed/>
    <w:rsid w:val="004964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468"/>
    <w:rPr>
      <w:sz w:val="20"/>
      <w:szCs w:val="20"/>
    </w:rPr>
  </w:style>
  <w:style w:type="character" w:styleId="FootnoteReference">
    <w:name w:val="footnote reference"/>
    <w:basedOn w:val="DefaultParagraphFont"/>
    <w:uiPriority w:val="99"/>
    <w:semiHidden/>
    <w:unhideWhenUsed/>
    <w:rsid w:val="00496468"/>
    <w:rPr>
      <w:vertAlign w:val="superscript"/>
    </w:rPr>
  </w:style>
  <w:style w:type="character" w:styleId="Hyperlink">
    <w:name w:val="Hyperlink"/>
    <w:basedOn w:val="DefaultParagraphFont"/>
    <w:uiPriority w:val="99"/>
    <w:unhideWhenUsed/>
    <w:rsid w:val="0049646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4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022"/>
  </w:style>
  <w:style w:type="paragraph" w:styleId="Footer">
    <w:name w:val="footer"/>
    <w:basedOn w:val="Normal"/>
    <w:link w:val="FooterChar"/>
    <w:uiPriority w:val="99"/>
    <w:unhideWhenUsed/>
    <w:rsid w:val="001D5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022"/>
  </w:style>
  <w:style w:type="table" w:styleId="TableGrid">
    <w:name w:val="Table Grid"/>
    <w:basedOn w:val="TableNormal"/>
    <w:rsid w:val="00A6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44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405"/>
    <w:rPr>
      <w:rFonts w:ascii="Tahoma" w:hAnsi="Tahoma" w:cs="Tahoma"/>
      <w:sz w:val="16"/>
      <w:szCs w:val="16"/>
    </w:rPr>
  </w:style>
  <w:style w:type="paragraph" w:styleId="FootnoteText">
    <w:name w:val="footnote text"/>
    <w:basedOn w:val="Normal"/>
    <w:link w:val="FootnoteTextChar"/>
    <w:uiPriority w:val="99"/>
    <w:semiHidden/>
    <w:unhideWhenUsed/>
    <w:rsid w:val="004964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468"/>
    <w:rPr>
      <w:sz w:val="20"/>
      <w:szCs w:val="20"/>
    </w:rPr>
  </w:style>
  <w:style w:type="character" w:styleId="FootnoteReference">
    <w:name w:val="footnote reference"/>
    <w:basedOn w:val="DefaultParagraphFont"/>
    <w:uiPriority w:val="99"/>
    <w:semiHidden/>
    <w:unhideWhenUsed/>
    <w:rsid w:val="00496468"/>
    <w:rPr>
      <w:vertAlign w:val="superscript"/>
    </w:rPr>
  </w:style>
  <w:style w:type="character" w:styleId="Hyperlink">
    <w:name w:val="Hyperlink"/>
    <w:basedOn w:val="DefaultParagraphFont"/>
    <w:uiPriority w:val="99"/>
    <w:unhideWhenUsed/>
    <w:rsid w:val="004964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cience.whoi.edu/users/olga/SPIROPA/video/ar29vpr.mp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nis\Desktop\djm_blank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djm_blank_template.dotx</Template>
  <TotalTime>0</TotalTime>
  <Pages>5</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Dennis</cp:lastModifiedBy>
  <cp:revision>2</cp:revision>
  <dcterms:created xsi:type="dcterms:W3CDTF">2019-01-21T18:50:00Z</dcterms:created>
  <dcterms:modified xsi:type="dcterms:W3CDTF">2019-01-21T18:50:00Z</dcterms:modified>
</cp:coreProperties>
</file>