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DC8D6" w14:textId="1C8EA557" w:rsidR="00EF2E31" w:rsidRDefault="00EF2E31" w:rsidP="00B62622">
      <w:pPr>
        <w:spacing w:line="276" w:lineRule="auto"/>
        <w:rPr>
          <w:b/>
          <w:szCs w:val="24"/>
        </w:rPr>
      </w:pPr>
      <w:r>
        <w:rPr>
          <w:b/>
          <w:szCs w:val="24"/>
        </w:rPr>
        <w:t>Barite Formation Experiments</w:t>
      </w:r>
    </w:p>
    <w:p w14:paraId="3CD42F9E" w14:textId="3D35800A" w:rsidR="00EF2E31" w:rsidRPr="00EF2E31" w:rsidRDefault="00EF2E31" w:rsidP="00B62622">
      <w:pPr>
        <w:spacing w:line="276" w:lineRule="auto"/>
        <w:rPr>
          <w:b/>
          <w:szCs w:val="24"/>
        </w:rPr>
      </w:pPr>
      <w:bookmarkStart w:id="0" w:name="_GoBack"/>
      <w:bookmarkEnd w:id="0"/>
      <w:r w:rsidRPr="00EF2E31">
        <w:rPr>
          <w:b/>
          <w:szCs w:val="24"/>
        </w:rPr>
        <w:t>Julia Middleton, Woods Hole Oceanographic Inst, Woods Hole, MA  02543</w:t>
      </w:r>
    </w:p>
    <w:p w14:paraId="5EB0BC52" w14:textId="77777777" w:rsidR="00EF2E31" w:rsidRDefault="00EF2E31" w:rsidP="00100902">
      <w:pPr>
        <w:spacing w:line="276" w:lineRule="auto"/>
        <w:ind w:firstLine="720"/>
        <w:rPr>
          <w:szCs w:val="24"/>
        </w:rPr>
      </w:pPr>
    </w:p>
    <w:p w14:paraId="0A3F1379" w14:textId="664A142A" w:rsidR="00774BA9" w:rsidRPr="004361CE" w:rsidRDefault="00204776" w:rsidP="00100902">
      <w:pPr>
        <w:spacing w:line="276" w:lineRule="auto"/>
        <w:ind w:firstLine="720"/>
      </w:pPr>
      <w:r w:rsidRPr="004361CE">
        <w:rPr>
          <w:szCs w:val="24"/>
        </w:rPr>
        <w:t>The ultimate burial of particulate organic carbon (POC) represents a climatically significant sink of the CO</w:t>
      </w:r>
      <w:r w:rsidRPr="004361CE">
        <w:rPr>
          <w:szCs w:val="24"/>
          <w:vertAlign w:val="subscript"/>
        </w:rPr>
        <w:t>2</w:t>
      </w:r>
      <w:r w:rsidRPr="004361CE">
        <w:rPr>
          <w:szCs w:val="24"/>
        </w:rPr>
        <w:t xml:space="preserve"> drawn down by photosynthetic organisms in the sunlit surface ocean. However, </w:t>
      </w:r>
      <w:r w:rsidRPr="004361CE">
        <w:rPr>
          <w:szCs w:val="24"/>
          <w:lang w:val="en-US"/>
        </w:rPr>
        <w:t xml:space="preserve">quantification of marine export production </w:t>
      </w:r>
      <w:r w:rsidRPr="004361CE">
        <w:rPr>
          <w:szCs w:val="24"/>
        </w:rPr>
        <w:t>and POC burial in the sediments</w:t>
      </w:r>
      <w:r w:rsidRPr="004361CE">
        <w:rPr>
          <w:szCs w:val="24"/>
          <w:lang w:val="en-US"/>
        </w:rPr>
        <w:t>, and its ultimate effects on global climate, has remained a delicate problem described by a handful of proxies</w:t>
      </w:r>
      <w:r w:rsidRPr="004361CE">
        <w:rPr>
          <w:szCs w:val="24"/>
        </w:rPr>
        <w:t xml:space="preserve">, each with caveats. </w:t>
      </w:r>
      <w:r w:rsidRPr="004361CE">
        <w:t>Marine barites have emerge</w:t>
      </w:r>
      <w:r w:rsidR="005B65F8" w:rsidRPr="004361CE">
        <w:t>d as one powerful proxy option</w:t>
      </w:r>
      <w:r w:rsidR="00D26E41" w:rsidRPr="004361CE">
        <w:t xml:space="preserve"> based on the barite formation pathway currently invoked in the literature. </w:t>
      </w:r>
      <w:r w:rsidR="00AF3578" w:rsidRPr="004361CE">
        <w:t>Despite this potential, controls on the formation of barite in the water column are greatly understudied. Currently, consensus does not exist as to the mechanism of barite formation (</w:t>
      </w:r>
      <w:r w:rsidR="00F57295" w:rsidRPr="004361CE">
        <w:t>Chow &amp; Goldberg 1960</w:t>
      </w:r>
      <w:r w:rsidR="00AF3578" w:rsidRPr="004361CE">
        <w:t xml:space="preserve">, </w:t>
      </w:r>
      <w:r w:rsidR="007D58E2" w:rsidRPr="004361CE">
        <w:t xml:space="preserve">Van </w:t>
      </w:r>
      <w:proofErr w:type="spellStart"/>
      <w:r w:rsidR="007D58E2" w:rsidRPr="004361CE">
        <w:t>Beek</w:t>
      </w:r>
      <w:proofErr w:type="spellEnd"/>
      <w:r w:rsidR="007D58E2" w:rsidRPr="004361CE">
        <w:t xml:space="preserve"> et al 2007, </w:t>
      </w:r>
      <w:r w:rsidR="00AF3578" w:rsidRPr="004361CE">
        <w:t xml:space="preserve">Gonzalez-Muñoz et al 2012) or the depth of barite formation in the water column (Van </w:t>
      </w:r>
      <w:proofErr w:type="spellStart"/>
      <w:r w:rsidR="00AF3578" w:rsidRPr="004361CE">
        <w:t>Beek</w:t>
      </w:r>
      <w:proofErr w:type="spellEnd"/>
      <w:r w:rsidR="00AF3578" w:rsidRPr="004361CE">
        <w:t xml:space="preserve"> et al 2007, Horner et al 2015). </w:t>
      </w:r>
      <w:r w:rsidRPr="004361CE">
        <w:t xml:space="preserve">Although </w:t>
      </w:r>
      <w:r w:rsidR="00100902" w:rsidRPr="004361CE">
        <w:t>pelagic</w:t>
      </w:r>
      <w:r w:rsidR="00EA48B8" w:rsidRPr="004361CE">
        <w:t xml:space="preserve"> surface waters are </w:t>
      </w:r>
      <w:r w:rsidR="005B65F8" w:rsidRPr="004361CE">
        <w:t>under saturated</w:t>
      </w:r>
      <w:r w:rsidR="00EA48B8" w:rsidRPr="004361CE">
        <w:t xml:space="preserve"> with respect to barite, microcrystalline barite appears throughout the water column. To overcome this apparent paradox, </w:t>
      </w:r>
      <w:r w:rsidR="00100902" w:rsidRPr="004361CE">
        <w:t xml:space="preserve">much </w:t>
      </w:r>
      <w:r w:rsidR="0036432D" w:rsidRPr="004361CE">
        <w:t xml:space="preserve">of the </w:t>
      </w:r>
      <w:r w:rsidR="00EA48B8" w:rsidRPr="004361CE">
        <w:t>current literature invokes the microenvironment model</w:t>
      </w:r>
      <w:r w:rsidR="005543A5" w:rsidRPr="004361CE">
        <w:t>:</w:t>
      </w:r>
      <w:r w:rsidR="00774BA9" w:rsidRPr="004361CE">
        <w:t xml:space="preserve"> </w:t>
      </w:r>
      <w:r w:rsidR="005543A5" w:rsidRPr="004361CE">
        <w:t>B</w:t>
      </w:r>
      <w:r w:rsidRPr="004361CE">
        <w:t>arite</w:t>
      </w:r>
      <w:r w:rsidR="007E6C69" w:rsidRPr="004361CE">
        <w:rPr>
          <w:szCs w:val="24"/>
        </w:rPr>
        <w:t xml:space="preserve"> </w:t>
      </w:r>
      <w:r w:rsidR="005543A5" w:rsidRPr="004361CE">
        <w:rPr>
          <w:szCs w:val="24"/>
        </w:rPr>
        <w:t>precipitation</w:t>
      </w:r>
      <w:r w:rsidR="007E6C69" w:rsidRPr="004361CE">
        <w:rPr>
          <w:szCs w:val="24"/>
        </w:rPr>
        <w:t xml:space="preserve"> </w:t>
      </w:r>
      <w:r w:rsidR="005543A5" w:rsidRPr="004361CE">
        <w:rPr>
          <w:szCs w:val="24"/>
        </w:rPr>
        <w:t>occurs exclusively within</w:t>
      </w:r>
      <w:r w:rsidR="007E6C69" w:rsidRPr="004361CE">
        <w:rPr>
          <w:szCs w:val="24"/>
        </w:rPr>
        <w:t xml:space="preserve"> </w:t>
      </w:r>
      <w:r w:rsidR="00774BA9" w:rsidRPr="004361CE">
        <w:rPr>
          <w:szCs w:val="24"/>
        </w:rPr>
        <w:t xml:space="preserve">locally supersaturated </w:t>
      </w:r>
      <w:r w:rsidR="007E6C69" w:rsidRPr="004361CE">
        <w:rPr>
          <w:szCs w:val="24"/>
        </w:rPr>
        <w:t xml:space="preserve">microenvironments contained </w:t>
      </w:r>
      <w:r w:rsidR="005543A5" w:rsidRPr="004361CE">
        <w:rPr>
          <w:szCs w:val="24"/>
        </w:rPr>
        <w:t>within</w:t>
      </w:r>
      <w:r w:rsidR="007E6C69" w:rsidRPr="004361CE">
        <w:rPr>
          <w:szCs w:val="24"/>
        </w:rPr>
        <w:t xml:space="preserve"> sinking </w:t>
      </w:r>
      <w:r w:rsidR="00D26E41" w:rsidRPr="004361CE">
        <w:rPr>
          <w:szCs w:val="24"/>
        </w:rPr>
        <w:t>POM</w:t>
      </w:r>
      <w:r w:rsidR="000D4C47" w:rsidRPr="004361CE">
        <w:rPr>
          <w:szCs w:val="24"/>
        </w:rPr>
        <w:t>, of which POC is a fraction</w:t>
      </w:r>
      <w:r w:rsidR="00774BA9" w:rsidRPr="004361CE">
        <w:rPr>
          <w:szCs w:val="24"/>
        </w:rPr>
        <w:t xml:space="preserve">. Supersaturation occurs through the release of dissolved barium during the microbial degradation of POM. </w:t>
      </w:r>
      <w:r w:rsidR="00100902" w:rsidRPr="004361CE">
        <w:t xml:space="preserve">To </w:t>
      </w:r>
      <w:proofErr w:type="gramStart"/>
      <w:r w:rsidR="00100902" w:rsidRPr="004361CE">
        <w:t>Investigate</w:t>
      </w:r>
      <w:proofErr w:type="gramEnd"/>
      <w:r w:rsidR="00100902" w:rsidRPr="004361CE">
        <w:t xml:space="preserve"> the controls on this precipitation mechanism, incubation experiments using a stable </w:t>
      </w:r>
      <w:r w:rsidR="00100902" w:rsidRPr="004361CE">
        <w:rPr>
          <w:vertAlign w:val="superscript"/>
        </w:rPr>
        <w:t>135</w:t>
      </w:r>
      <w:r w:rsidR="00100902" w:rsidRPr="004361CE">
        <w:t>Ba tracer were carried out during the SAMW 2020 cruise.</w:t>
      </w:r>
    </w:p>
    <w:p w14:paraId="70AD8CCB" w14:textId="77777777" w:rsidR="00677D62" w:rsidRPr="004361CE" w:rsidRDefault="00677D62" w:rsidP="00100902">
      <w:pPr>
        <w:spacing w:line="276" w:lineRule="auto"/>
        <w:ind w:firstLine="720"/>
      </w:pPr>
    </w:p>
    <w:p w14:paraId="48E2E3BD" w14:textId="252FF25E" w:rsidR="00A11D6B" w:rsidRPr="004361CE" w:rsidRDefault="00EF42A0" w:rsidP="00556B14">
      <w:pPr>
        <w:spacing w:line="276" w:lineRule="auto"/>
        <w:ind w:firstLine="720"/>
      </w:pPr>
      <w:r w:rsidRPr="004361CE">
        <w:t>Barite formation experiments were initiated at the same stations as the Balch/Morton nutrient amendment incubations</w:t>
      </w:r>
      <w:r w:rsidR="00F70F43" w:rsidRPr="004361CE">
        <w:t xml:space="preserve"> (Stations 05, 18, 28, 56</w:t>
      </w:r>
      <w:r w:rsidR="0010050B" w:rsidRPr="004361CE">
        <w:t>)</w:t>
      </w:r>
      <w:r w:rsidR="00D03521" w:rsidRPr="004361CE">
        <w:t xml:space="preserve"> and coincided with productivity and trace metal casts</w:t>
      </w:r>
      <w:r w:rsidR="0010050B" w:rsidRPr="004361CE">
        <w:t>.</w:t>
      </w:r>
      <w:r w:rsidRPr="004361CE">
        <w:t xml:space="preserve"> </w:t>
      </w:r>
      <w:r w:rsidR="00042BF0" w:rsidRPr="004361CE">
        <w:t>From the main CTD casts, w</w:t>
      </w:r>
      <w:r w:rsidR="00556B14" w:rsidRPr="004361CE">
        <w:t>ater samples from the fluorescence peak, maximum increase in beam t</w:t>
      </w:r>
      <w:r w:rsidR="00ED0900" w:rsidRPr="004361CE">
        <w:t>ransmission (region of decreasing</w:t>
      </w:r>
      <w:r w:rsidR="00556B14" w:rsidRPr="004361CE">
        <w:t xml:space="preserve"> particle load), and oxygen minimum were used to </w:t>
      </w:r>
      <w:r w:rsidR="00E426E1" w:rsidRPr="004361CE">
        <w:t>target areas with high</w:t>
      </w:r>
      <w:r w:rsidR="00556B14" w:rsidRPr="004361CE">
        <w:t xml:space="preserve"> phytoplankton growth, particle degradation, and microbial action, respectively. </w:t>
      </w:r>
      <w:r w:rsidR="00E426E1" w:rsidRPr="004361CE">
        <w:t>Samples</w:t>
      </w:r>
      <w:r w:rsidR="00556B14" w:rsidRPr="004361CE">
        <w:t xml:space="preserve"> were </w:t>
      </w:r>
      <w:r w:rsidR="00E426E1" w:rsidRPr="004361CE">
        <w:t xml:space="preserve">first </w:t>
      </w:r>
      <w:r w:rsidR="00556B14" w:rsidRPr="004361CE">
        <w:t xml:space="preserve">spiked with </w:t>
      </w:r>
      <w:r w:rsidR="00556B14" w:rsidRPr="004361CE">
        <w:rPr>
          <w:vertAlign w:val="superscript"/>
        </w:rPr>
        <w:t>135</w:t>
      </w:r>
      <w:r w:rsidR="00556B14" w:rsidRPr="004361CE">
        <w:t xml:space="preserve">Ba to </w:t>
      </w:r>
      <w:proofErr w:type="spellStart"/>
      <w:r w:rsidR="00556B14" w:rsidRPr="004361CE">
        <w:t>Ω</w:t>
      </w:r>
      <w:r w:rsidR="00556B14" w:rsidRPr="004361CE">
        <w:rPr>
          <w:vertAlign w:val="subscript"/>
        </w:rPr>
        <w:t>barite</w:t>
      </w:r>
      <w:proofErr w:type="spellEnd"/>
      <w:r w:rsidR="00C72D94" w:rsidRPr="004361CE">
        <w:t xml:space="preserve"> ≈ 1</w:t>
      </w:r>
      <w:r w:rsidR="00E426E1" w:rsidRPr="004361CE">
        <w:t xml:space="preserve"> to allow tracing of new barite precipitation during the course of the experiment. </w:t>
      </w:r>
      <w:r w:rsidR="00C72D94" w:rsidRPr="004361CE">
        <w:t>Notably, homogenous barite precipitation occurs where</w:t>
      </w:r>
      <w:r w:rsidR="00556B14" w:rsidRPr="004361CE">
        <w:t xml:space="preserve"> </w:t>
      </w:r>
      <w:proofErr w:type="spellStart"/>
      <w:r w:rsidR="00C72D94" w:rsidRPr="004361CE">
        <w:t>Ω</w:t>
      </w:r>
      <w:r w:rsidR="00C72D94" w:rsidRPr="004361CE">
        <w:rPr>
          <w:vertAlign w:val="subscript"/>
        </w:rPr>
        <w:t>barite</w:t>
      </w:r>
      <w:proofErr w:type="spellEnd"/>
      <w:r w:rsidR="00C72D94" w:rsidRPr="004361CE">
        <w:t xml:space="preserve"> &gt; 8 </w:t>
      </w:r>
      <w:r w:rsidR="00E426E1" w:rsidRPr="004361CE">
        <w:t>(</w:t>
      </w:r>
      <w:proofErr w:type="spellStart"/>
      <w:r w:rsidR="00E426E1" w:rsidRPr="004361CE">
        <w:t>Nancollas</w:t>
      </w:r>
      <w:proofErr w:type="spellEnd"/>
      <w:r w:rsidR="00E426E1" w:rsidRPr="004361CE">
        <w:t xml:space="preserve"> &amp; Purdie 1963). We explored the influence of particulate availability (microenvironments) and microbial action at each of these depths. </w:t>
      </w:r>
      <w:r w:rsidR="00DC3312" w:rsidRPr="004361CE">
        <w:t>Four</w:t>
      </w:r>
      <w:r w:rsidR="00E426E1" w:rsidRPr="004361CE">
        <w:t xml:space="preserve"> conditions were carried out</w:t>
      </w:r>
      <w:r w:rsidR="00DC3312" w:rsidRPr="004361CE">
        <w:t xml:space="preserve"> at each depth</w:t>
      </w:r>
      <w:r w:rsidR="00E426E1" w:rsidRPr="004361CE">
        <w:t xml:space="preserve">: 1) Unadulterated water, 2) Filtered to 0.2µm (no particulates/microenvironments), 3) poisoned with mercuric chloride (no microbial action), 4) filtered to 0.2µm and poisoned (control). </w:t>
      </w:r>
      <w:r w:rsidR="00677D62" w:rsidRPr="004361CE">
        <w:t>Three t</w:t>
      </w:r>
      <w:r w:rsidR="004F00D7" w:rsidRPr="004361CE">
        <w:t>ime points were taken over the course of one week,</w:t>
      </w:r>
      <w:r w:rsidR="00076788">
        <w:t xml:space="preserve"> with replicates performed for the latter two time points. </w:t>
      </w:r>
      <w:r w:rsidR="004F00D7" w:rsidRPr="004361CE">
        <w:t xml:space="preserve"> </w:t>
      </w:r>
      <w:r w:rsidR="00076788">
        <w:t>The particulate</w:t>
      </w:r>
      <w:r w:rsidR="004F00D7" w:rsidRPr="004361CE">
        <w:t xml:space="preserve"> fraction</w:t>
      </w:r>
      <w:r w:rsidR="00076788">
        <w:t xml:space="preserve"> was</w:t>
      </w:r>
      <w:r w:rsidR="004F00D7" w:rsidRPr="004361CE">
        <w:t xml:space="preserve"> saved</w:t>
      </w:r>
      <w:r w:rsidR="00315327" w:rsidRPr="004361CE">
        <w:t xml:space="preserve"> for shore-side analysis</w:t>
      </w:r>
      <w:r w:rsidR="004F00D7" w:rsidRPr="004361CE">
        <w:t xml:space="preserve">. </w:t>
      </w:r>
      <w:r w:rsidR="002445AE" w:rsidRPr="004361CE">
        <w:t xml:space="preserve">Pre-cruise experiments show that the uptake of </w:t>
      </w:r>
      <w:r w:rsidR="002445AE" w:rsidRPr="004361CE">
        <w:rPr>
          <w:vertAlign w:val="superscript"/>
        </w:rPr>
        <w:t>135</w:t>
      </w:r>
      <w:r w:rsidR="002445AE" w:rsidRPr="004361CE">
        <w:t xml:space="preserve">Ba into the particulate fraction can be observed over this time period. </w:t>
      </w:r>
      <w:r w:rsidR="00BC70CA" w:rsidRPr="004361CE">
        <w:t xml:space="preserve">All analytical measurements for these experiments will be carried out at the </w:t>
      </w:r>
      <w:r w:rsidR="00042BF0" w:rsidRPr="004361CE">
        <w:t xml:space="preserve">Woods Hole Oceanographic Institution (WHOI) </w:t>
      </w:r>
      <w:r w:rsidR="00BC70CA" w:rsidRPr="004361CE">
        <w:t xml:space="preserve">ICP Facility. </w:t>
      </w:r>
    </w:p>
    <w:p w14:paraId="4A57F2B9" w14:textId="170200CE" w:rsidR="004361CE" w:rsidRDefault="00042BF0" w:rsidP="00D22C4E">
      <w:pPr>
        <w:spacing w:line="276" w:lineRule="auto"/>
        <w:ind w:firstLine="720"/>
      </w:pPr>
      <w:r w:rsidRPr="004361CE">
        <w:t xml:space="preserve">Additionally, dissolved barium samples (0.4µm </w:t>
      </w:r>
      <w:proofErr w:type="spellStart"/>
      <w:r w:rsidRPr="004361CE">
        <w:t>Isopore</w:t>
      </w:r>
      <w:proofErr w:type="spellEnd"/>
      <w:r w:rsidRPr="004361CE">
        <w:t xml:space="preserve"> polycarbonate track-etch filter) were collected from every depth of the trace metal cast.</w:t>
      </w:r>
      <w:r w:rsidR="00840819">
        <w:t xml:space="preserve"> Dissolved barium samples were also </w:t>
      </w:r>
      <w:r w:rsidR="00840819">
        <w:lastRenderedPageBreak/>
        <w:t>collected were collected from the A &amp; C replicates of all nutrient amendment incubations, throughout the full time period of each experiment.</w:t>
      </w:r>
      <w:r w:rsidRPr="004361CE">
        <w:t xml:space="preserve"> Dissolved samples will be measured post cruise for barium concentration and barium isotopes at the WHOI ICP Facility</w:t>
      </w:r>
      <w:r w:rsidR="00D22C4E">
        <w:t>.</w:t>
      </w:r>
    </w:p>
    <w:p w14:paraId="2B07715C" w14:textId="7B131059" w:rsidR="004361CE" w:rsidRPr="004361CE" w:rsidRDefault="004361CE" w:rsidP="004361CE">
      <w:pPr>
        <w:spacing w:line="276" w:lineRule="auto"/>
        <w:rPr>
          <w:b/>
        </w:rPr>
      </w:pPr>
      <w:r>
        <w:rPr>
          <w:b/>
        </w:rPr>
        <w:t>Inventory of barite formation experiments (5 samples per line, for 3 time points)</w:t>
      </w:r>
    </w:p>
    <w:tbl>
      <w:tblPr>
        <w:tblW w:w="7910" w:type="dxa"/>
        <w:tblLayout w:type="fixed"/>
        <w:tblLook w:val="04A0" w:firstRow="1" w:lastRow="0" w:firstColumn="1" w:lastColumn="0" w:noHBand="0" w:noVBand="1"/>
      </w:tblPr>
      <w:tblGrid>
        <w:gridCol w:w="800"/>
        <w:gridCol w:w="1080"/>
        <w:gridCol w:w="1260"/>
        <w:gridCol w:w="1980"/>
        <w:gridCol w:w="1710"/>
        <w:gridCol w:w="1080"/>
      </w:tblGrid>
      <w:tr w:rsidR="0059533D" w:rsidRPr="004361CE" w14:paraId="1F151D1E" w14:textId="77777777" w:rsidTr="0059533D">
        <w:trPr>
          <w:trHeight w:val="3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66B8" w14:textId="77777777" w:rsidR="004361CE" w:rsidRPr="004361CE" w:rsidRDefault="004361CE" w:rsidP="004361CE">
            <w:pPr>
              <w:rPr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4361CE">
              <w:rPr>
                <w:b/>
                <w:bCs/>
                <w:color w:val="000000"/>
                <w:sz w:val="20"/>
                <w:lang w:val="en-US"/>
              </w:rPr>
              <w:t>Stn</w:t>
            </w:r>
            <w:proofErr w:type="spellEnd"/>
            <w:r w:rsidRPr="004361CE">
              <w:rPr>
                <w:b/>
                <w:bCs/>
                <w:color w:val="000000"/>
                <w:sz w:val="20"/>
                <w:lang w:val="en-US"/>
              </w:rPr>
              <w:t xml:space="preserve"> #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A3BF" w14:textId="77777777" w:rsidR="004361CE" w:rsidRPr="004361CE" w:rsidRDefault="004361CE" w:rsidP="004361CE">
            <w:pPr>
              <w:rPr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4361CE">
              <w:rPr>
                <w:b/>
                <w:bCs/>
                <w:color w:val="000000"/>
                <w:sz w:val="20"/>
                <w:lang w:val="en-US"/>
              </w:rPr>
              <w:t>Niskin</w:t>
            </w:r>
            <w:proofErr w:type="spellEnd"/>
            <w:r w:rsidRPr="004361CE">
              <w:rPr>
                <w:b/>
                <w:bCs/>
                <w:color w:val="000000"/>
                <w:sz w:val="20"/>
                <w:lang w:val="en-US"/>
              </w:rPr>
              <w:t xml:space="preserve"> #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9673" w14:textId="77777777" w:rsidR="004361CE" w:rsidRPr="004361CE" w:rsidRDefault="004361CE" w:rsidP="004361CE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4361CE">
              <w:rPr>
                <w:b/>
                <w:bCs/>
                <w:color w:val="000000"/>
                <w:sz w:val="20"/>
                <w:lang w:val="en-US"/>
              </w:rPr>
              <w:t>Depth (m)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9F3C" w14:textId="77777777" w:rsidR="004361CE" w:rsidRPr="004361CE" w:rsidRDefault="004361CE" w:rsidP="004361CE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4361CE">
              <w:rPr>
                <w:b/>
                <w:bCs/>
                <w:color w:val="000000"/>
                <w:sz w:val="20"/>
                <w:lang w:val="en-US"/>
              </w:rPr>
              <w:t>Depth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7207" w14:textId="77777777" w:rsidR="004361CE" w:rsidRPr="004361CE" w:rsidRDefault="004361CE" w:rsidP="004361CE">
            <w:pPr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 w:rsidRPr="004361CE">
              <w:rPr>
                <w:b/>
                <w:bCs/>
                <w:i/>
                <w:iCs/>
                <w:color w:val="000000"/>
                <w:sz w:val="20"/>
                <w:lang w:val="en-US"/>
              </w:rPr>
              <w:t>In-situ</w:t>
            </w:r>
            <w:r w:rsidRPr="004361CE">
              <w:rPr>
                <w:b/>
                <w:bCs/>
                <w:color w:val="000000"/>
                <w:sz w:val="20"/>
                <w:lang w:val="en-US"/>
              </w:rPr>
              <w:t xml:space="preserve"> temp ( C 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736FB" w14:textId="77777777" w:rsidR="004361CE" w:rsidRPr="004361CE" w:rsidRDefault="004361CE" w:rsidP="004361CE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4361CE">
              <w:rPr>
                <w:b/>
                <w:bCs/>
                <w:color w:val="000000"/>
                <w:sz w:val="20"/>
                <w:lang w:val="en-US"/>
              </w:rPr>
              <w:t>Goal [Ba]</w:t>
            </w:r>
          </w:p>
        </w:tc>
      </w:tr>
      <w:tr w:rsidR="0059533D" w:rsidRPr="004361CE" w14:paraId="0BCA746A" w14:textId="77777777" w:rsidTr="0059533D">
        <w:trPr>
          <w:trHeight w:val="32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0ACAE3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1628C7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272A9D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21.7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9ABE72" w14:textId="63F303FF" w:rsidR="004361CE" w:rsidRPr="004361CE" w:rsidRDefault="0059533D" w:rsidP="004361CE">
            <w:pPr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Fluorescence</w:t>
            </w:r>
            <w:r w:rsidR="004361CE" w:rsidRPr="004361CE">
              <w:rPr>
                <w:color w:val="000000"/>
                <w:sz w:val="20"/>
                <w:lang w:val="en-US"/>
              </w:rPr>
              <w:t xml:space="preserve"> max.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890D74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16.3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6D606A9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189</w:t>
            </w:r>
          </w:p>
        </w:tc>
      </w:tr>
      <w:tr w:rsidR="0059533D" w:rsidRPr="004361CE" w14:paraId="7C2D4C79" w14:textId="77777777" w:rsidTr="0059533D">
        <w:trPr>
          <w:trHeight w:val="342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0B316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3561D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B91F1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38.3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AAAB0" w14:textId="77777777" w:rsidR="004361CE" w:rsidRPr="004361CE" w:rsidRDefault="004361CE" w:rsidP="004361CE">
            <w:pPr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 xml:space="preserve">Max </w:t>
            </w:r>
            <w:r w:rsidRPr="004361CE">
              <w:rPr>
                <w:rFonts w:ascii="MS Mincho" w:eastAsia="MS Mincho" w:hAnsi="MS Mincho" w:cs="MS Mincho"/>
                <w:color w:val="000000"/>
                <w:sz w:val="20"/>
                <w:lang w:val="en-US"/>
              </w:rPr>
              <w:t>▽</w:t>
            </w:r>
            <w:r w:rsidRPr="004361CE">
              <w:rPr>
                <w:color w:val="000000"/>
                <w:sz w:val="20"/>
                <w:lang w:val="en-US"/>
              </w:rPr>
              <w:t xml:space="preserve"> transmission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2D737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14.9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671214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182</w:t>
            </w:r>
          </w:p>
        </w:tc>
      </w:tr>
      <w:tr w:rsidR="0059533D" w:rsidRPr="004361CE" w14:paraId="65E45C15" w14:textId="77777777" w:rsidTr="0059533D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DBBB89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B66118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B7A5F8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750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66E32C" w14:textId="77777777" w:rsidR="004361CE" w:rsidRPr="004361CE" w:rsidRDefault="004361CE" w:rsidP="004361CE">
            <w:pPr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O2 min. (cast)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260525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EA04783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127</w:t>
            </w:r>
          </w:p>
        </w:tc>
      </w:tr>
      <w:tr w:rsidR="0059533D" w:rsidRPr="004361CE" w14:paraId="391AFD14" w14:textId="77777777" w:rsidTr="0059533D">
        <w:trPr>
          <w:trHeight w:val="32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D7643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E99A5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9165A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B3224" w14:textId="75185204" w:rsidR="004361CE" w:rsidRPr="004361CE" w:rsidRDefault="0059533D" w:rsidP="004361CE">
            <w:pPr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Fluorescence</w:t>
            </w:r>
            <w:r w:rsidR="004361CE" w:rsidRPr="004361CE">
              <w:rPr>
                <w:color w:val="000000"/>
                <w:sz w:val="20"/>
                <w:lang w:val="en-US"/>
              </w:rPr>
              <w:t xml:space="preserve"> max.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F78CD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18.2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EA35B3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200</w:t>
            </w:r>
          </w:p>
        </w:tc>
      </w:tr>
      <w:tr w:rsidR="0059533D" w:rsidRPr="004361CE" w14:paraId="5AFB5201" w14:textId="77777777" w:rsidTr="0059533D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6BB511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0E2DFC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06EA1A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4F9AD8" w14:textId="77777777" w:rsidR="004361CE" w:rsidRPr="004361CE" w:rsidRDefault="004361CE" w:rsidP="004361CE">
            <w:pPr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 xml:space="preserve">Max </w:t>
            </w:r>
            <w:r w:rsidRPr="004361CE">
              <w:rPr>
                <w:rFonts w:ascii="MS Mincho" w:eastAsia="MS Mincho" w:hAnsi="MS Mincho" w:cs="MS Mincho"/>
                <w:color w:val="000000"/>
                <w:sz w:val="20"/>
                <w:lang w:val="en-US"/>
              </w:rPr>
              <w:t>▽</w:t>
            </w:r>
            <w:r w:rsidRPr="004361CE">
              <w:rPr>
                <w:color w:val="000000"/>
                <w:sz w:val="20"/>
                <w:lang w:val="en-US"/>
              </w:rPr>
              <w:t xml:space="preserve"> transmission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F44188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6830248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196</w:t>
            </w:r>
          </w:p>
        </w:tc>
      </w:tr>
      <w:tr w:rsidR="0059533D" w:rsidRPr="004361CE" w14:paraId="55E557FF" w14:textId="77777777" w:rsidTr="0059533D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85E5FF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56E96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02936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750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39E9B7" w14:textId="77777777" w:rsidR="004361CE" w:rsidRPr="004361CE" w:rsidRDefault="004361CE" w:rsidP="004361CE">
            <w:pPr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O2 min. (cast)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C7D6F1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8D9DA3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141</w:t>
            </w:r>
          </w:p>
        </w:tc>
      </w:tr>
      <w:tr w:rsidR="0059533D" w:rsidRPr="004361CE" w14:paraId="1CD419D3" w14:textId="77777777" w:rsidTr="0059533D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6DC40D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070E93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C6EDCC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9DA77E" w14:textId="11F5539F" w:rsidR="004361CE" w:rsidRPr="004361CE" w:rsidRDefault="0059533D" w:rsidP="004361CE">
            <w:pPr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Fluorescence</w:t>
            </w:r>
            <w:r w:rsidR="004361CE" w:rsidRPr="004361CE">
              <w:rPr>
                <w:color w:val="000000"/>
                <w:sz w:val="20"/>
                <w:lang w:val="en-US"/>
              </w:rPr>
              <w:t xml:space="preserve"> max.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2F5455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14.3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8C30643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178</w:t>
            </w:r>
          </w:p>
        </w:tc>
      </w:tr>
      <w:tr w:rsidR="0059533D" w:rsidRPr="004361CE" w14:paraId="0CC963BF" w14:textId="77777777" w:rsidTr="0059533D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F7332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2F9D6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77B2F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D780A" w14:textId="77777777" w:rsidR="004361CE" w:rsidRPr="004361CE" w:rsidRDefault="004361CE" w:rsidP="004361CE">
            <w:pPr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 xml:space="preserve">Max </w:t>
            </w:r>
            <w:r w:rsidRPr="004361CE">
              <w:rPr>
                <w:rFonts w:ascii="MS Mincho" w:eastAsia="MS Mincho" w:hAnsi="MS Mincho" w:cs="MS Mincho"/>
                <w:color w:val="000000"/>
                <w:sz w:val="20"/>
                <w:lang w:val="en-US"/>
              </w:rPr>
              <w:t>▽</w:t>
            </w:r>
            <w:r w:rsidRPr="004361CE">
              <w:rPr>
                <w:color w:val="000000"/>
                <w:sz w:val="20"/>
                <w:lang w:val="en-US"/>
              </w:rPr>
              <w:t xml:space="preserve"> transmission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2F9CA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059246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175</w:t>
            </w:r>
          </w:p>
        </w:tc>
      </w:tr>
      <w:tr w:rsidR="0059533D" w:rsidRPr="004361CE" w14:paraId="67FEBD87" w14:textId="77777777" w:rsidTr="0059533D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25044179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2F508371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ECF60A4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450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4BB3E35" w14:textId="77777777" w:rsidR="004361CE" w:rsidRPr="004361CE" w:rsidRDefault="004361CE" w:rsidP="004361CE">
            <w:pPr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O2 min. (cast)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0E4E4DCD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D0B5D14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161</w:t>
            </w:r>
          </w:p>
        </w:tc>
      </w:tr>
      <w:tr w:rsidR="0059533D" w:rsidRPr="004361CE" w14:paraId="21D7C8A2" w14:textId="77777777" w:rsidTr="0059533D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9C839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06EE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D923B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FBCFF" w14:textId="78E41F97" w:rsidR="004361CE" w:rsidRPr="004361CE" w:rsidRDefault="0059533D" w:rsidP="004361CE">
            <w:pPr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Fluorescence</w:t>
            </w:r>
            <w:r w:rsidR="004361CE" w:rsidRPr="004361CE">
              <w:rPr>
                <w:color w:val="000000"/>
                <w:sz w:val="20"/>
                <w:lang w:val="en-US"/>
              </w:rPr>
              <w:t xml:space="preserve"> max.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25B21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14.3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7EC852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178</w:t>
            </w:r>
          </w:p>
        </w:tc>
      </w:tr>
      <w:tr w:rsidR="0059533D" w:rsidRPr="004361CE" w14:paraId="1E28630F" w14:textId="77777777" w:rsidTr="0059533D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38B655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B7BFA9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4075B5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F08D3F" w14:textId="77777777" w:rsidR="004361CE" w:rsidRPr="004361CE" w:rsidRDefault="004361CE" w:rsidP="004361CE">
            <w:pPr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 xml:space="preserve">Max </w:t>
            </w:r>
            <w:r w:rsidRPr="004361CE">
              <w:rPr>
                <w:rFonts w:ascii="MS Mincho" w:eastAsia="MS Mincho" w:hAnsi="MS Mincho" w:cs="MS Mincho"/>
                <w:color w:val="000000"/>
                <w:sz w:val="20"/>
                <w:lang w:val="en-US"/>
              </w:rPr>
              <w:t>▽</w:t>
            </w:r>
            <w:r w:rsidRPr="004361CE">
              <w:rPr>
                <w:color w:val="000000"/>
                <w:sz w:val="20"/>
                <w:lang w:val="en-US"/>
              </w:rPr>
              <w:t xml:space="preserve"> transmission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67AAB1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E0C04FE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175</w:t>
            </w:r>
          </w:p>
        </w:tc>
      </w:tr>
      <w:tr w:rsidR="0059533D" w:rsidRPr="004361CE" w14:paraId="55D56DC9" w14:textId="77777777" w:rsidTr="0059533D">
        <w:trPr>
          <w:trHeight w:val="3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D07AD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C276E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1678D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751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E55BA" w14:textId="77777777" w:rsidR="004361CE" w:rsidRPr="004361CE" w:rsidRDefault="004361CE" w:rsidP="004361CE">
            <w:pPr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O2 min. (cast)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BA1AD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A65346" w14:textId="77777777" w:rsidR="004361CE" w:rsidRPr="004361CE" w:rsidRDefault="004361CE" w:rsidP="004361CE">
            <w:pPr>
              <w:jc w:val="right"/>
              <w:rPr>
                <w:color w:val="000000"/>
                <w:sz w:val="20"/>
                <w:lang w:val="en-US"/>
              </w:rPr>
            </w:pPr>
            <w:r w:rsidRPr="004361CE">
              <w:rPr>
                <w:color w:val="000000"/>
                <w:sz w:val="20"/>
                <w:lang w:val="en-US"/>
              </w:rPr>
              <w:t>161</w:t>
            </w:r>
          </w:p>
        </w:tc>
      </w:tr>
    </w:tbl>
    <w:p w14:paraId="246A6E73" w14:textId="77777777" w:rsidR="0048333C" w:rsidRPr="004361CE" w:rsidRDefault="0048333C" w:rsidP="00EA48B8">
      <w:pPr>
        <w:spacing w:line="276" w:lineRule="auto"/>
        <w:ind w:firstLine="720"/>
        <w:rPr>
          <w:szCs w:val="24"/>
        </w:rPr>
      </w:pPr>
    </w:p>
    <w:p w14:paraId="36BB4F99" w14:textId="77777777" w:rsidR="007E6C69" w:rsidRPr="004361CE" w:rsidRDefault="007E6C69" w:rsidP="00EA48B8">
      <w:pPr>
        <w:spacing w:line="276" w:lineRule="auto"/>
        <w:ind w:firstLine="720"/>
      </w:pPr>
    </w:p>
    <w:p w14:paraId="4AE960F2" w14:textId="77777777" w:rsidR="007E6C69" w:rsidRPr="004361CE" w:rsidRDefault="007E6C69" w:rsidP="00EA48B8">
      <w:pPr>
        <w:spacing w:line="276" w:lineRule="auto"/>
        <w:ind w:firstLine="720"/>
      </w:pPr>
    </w:p>
    <w:p w14:paraId="3EB582AA" w14:textId="6596DA63" w:rsidR="0026147F" w:rsidRPr="004361CE" w:rsidRDefault="0026147F" w:rsidP="00F67BBD">
      <w:pPr>
        <w:spacing w:line="276" w:lineRule="auto"/>
      </w:pPr>
    </w:p>
    <w:p w14:paraId="3444F46D" w14:textId="60C29B80" w:rsidR="009D6AD8" w:rsidRPr="004361CE" w:rsidRDefault="009D6AD8"/>
    <w:sectPr w:rsidR="009D6AD8" w:rsidRPr="004361CE" w:rsidSect="00E0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77"/>
    <w:rsid w:val="00015B68"/>
    <w:rsid w:val="000225AC"/>
    <w:rsid w:val="00042BF0"/>
    <w:rsid w:val="000519A3"/>
    <w:rsid w:val="00054913"/>
    <w:rsid w:val="00063430"/>
    <w:rsid w:val="00072320"/>
    <w:rsid w:val="00073A1E"/>
    <w:rsid w:val="00076402"/>
    <w:rsid w:val="00076788"/>
    <w:rsid w:val="000919E8"/>
    <w:rsid w:val="000A361F"/>
    <w:rsid w:val="000A386B"/>
    <w:rsid w:val="000B4DE9"/>
    <w:rsid w:val="000B5E7B"/>
    <w:rsid w:val="000C281A"/>
    <w:rsid w:val="000C3D43"/>
    <w:rsid w:val="000D2044"/>
    <w:rsid w:val="000D4C47"/>
    <w:rsid w:val="000E006A"/>
    <w:rsid w:val="0010050B"/>
    <w:rsid w:val="00100902"/>
    <w:rsid w:val="00112A71"/>
    <w:rsid w:val="001135C5"/>
    <w:rsid w:val="00127F00"/>
    <w:rsid w:val="00164842"/>
    <w:rsid w:val="00191E81"/>
    <w:rsid w:val="001B090E"/>
    <w:rsid w:val="001B63B3"/>
    <w:rsid w:val="001C332E"/>
    <w:rsid w:val="001C5633"/>
    <w:rsid w:val="001D70DD"/>
    <w:rsid w:val="00201EF0"/>
    <w:rsid w:val="00204776"/>
    <w:rsid w:val="00233FF3"/>
    <w:rsid w:val="00240A71"/>
    <w:rsid w:val="002445AE"/>
    <w:rsid w:val="0026147F"/>
    <w:rsid w:val="00266006"/>
    <w:rsid w:val="00271D6F"/>
    <w:rsid w:val="0027551F"/>
    <w:rsid w:val="00281225"/>
    <w:rsid w:val="00286992"/>
    <w:rsid w:val="002916AC"/>
    <w:rsid w:val="0029276A"/>
    <w:rsid w:val="002943E8"/>
    <w:rsid w:val="002A08FE"/>
    <w:rsid w:val="002E55C3"/>
    <w:rsid w:val="003039CF"/>
    <w:rsid w:val="00315327"/>
    <w:rsid w:val="0033133C"/>
    <w:rsid w:val="0036432D"/>
    <w:rsid w:val="003658CE"/>
    <w:rsid w:val="0037448B"/>
    <w:rsid w:val="00385248"/>
    <w:rsid w:val="00392A3F"/>
    <w:rsid w:val="003D122F"/>
    <w:rsid w:val="003E1313"/>
    <w:rsid w:val="003E6E82"/>
    <w:rsid w:val="004119FD"/>
    <w:rsid w:val="004177E2"/>
    <w:rsid w:val="00421CD2"/>
    <w:rsid w:val="004361CE"/>
    <w:rsid w:val="00451B26"/>
    <w:rsid w:val="004542CD"/>
    <w:rsid w:val="00466E89"/>
    <w:rsid w:val="0048134B"/>
    <w:rsid w:val="0048333C"/>
    <w:rsid w:val="004917E3"/>
    <w:rsid w:val="0049681F"/>
    <w:rsid w:val="004A48BF"/>
    <w:rsid w:val="004B2DBD"/>
    <w:rsid w:val="004B73BC"/>
    <w:rsid w:val="004C3466"/>
    <w:rsid w:val="004E139B"/>
    <w:rsid w:val="004F00D7"/>
    <w:rsid w:val="004F2E3F"/>
    <w:rsid w:val="004F5BAC"/>
    <w:rsid w:val="00541487"/>
    <w:rsid w:val="005478C7"/>
    <w:rsid w:val="005516B3"/>
    <w:rsid w:val="005543A5"/>
    <w:rsid w:val="00556B14"/>
    <w:rsid w:val="00570391"/>
    <w:rsid w:val="0059533D"/>
    <w:rsid w:val="005A324A"/>
    <w:rsid w:val="005A789A"/>
    <w:rsid w:val="005B65F8"/>
    <w:rsid w:val="005C19B4"/>
    <w:rsid w:val="005E7AA9"/>
    <w:rsid w:val="006158D2"/>
    <w:rsid w:val="006207DF"/>
    <w:rsid w:val="00662699"/>
    <w:rsid w:val="00665FFB"/>
    <w:rsid w:val="00676700"/>
    <w:rsid w:val="00677D62"/>
    <w:rsid w:val="0069199D"/>
    <w:rsid w:val="006A5187"/>
    <w:rsid w:val="006C565B"/>
    <w:rsid w:val="006D2B86"/>
    <w:rsid w:val="006F7583"/>
    <w:rsid w:val="00710C0A"/>
    <w:rsid w:val="007154A1"/>
    <w:rsid w:val="007169EB"/>
    <w:rsid w:val="00737BA4"/>
    <w:rsid w:val="007464C8"/>
    <w:rsid w:val="00764CFE"/>
    <w:rsid w:val="00772900"/>
    <w:rsid w:val="00774BA9"/>
    <w:rsid w:val="00774F82"/>
    <w:rsid w:val="007A228E"/>
    <w:rsid w:val="007D09E4"/>
    <w:rsid w:val="007D58E2"/>
    <w:rsid w:val="007D7593"/>
    <w:rsid w:val="007E1D2C"/>
    <w:rsid w:val="007E2FBE"/>
    <w:rsid w:val="007E6C69"/>
    <w:rsid w:val="007F1D82"/>
    <w:rsid w:val="007F1F17"/>
    <w:rsid w:val="007F2AC2"/>
    <w:rsid w:val="007F714C"/>
    <w:rsid w:val="007F728F"/>
    <w:rsid w:val="008015C9"/>
    <w:rsid w:val="00813AA3"/>
    <w:rsid w:val="00813B0B"/>
    <w:rsid w:val="00827014"/>
    <w:rsid w:val="00836F8B"/>
    <w:rsid w:val="00840819"/>
    <w:rsid w:val="0088745D"/>
    <w:rsid w:val="008921C9"/>
    <w:rsid w:val="008A0797"/>
    <w:rsid w:val="008B1A9F"/>
    <w:rsid w:val="008E003E"/>
    <w:rsid w:val="008E2FAA"/>
    <w:rsid w:val="008E5DCA"/>
    <w:rsid w:val="008F6554"/>
    <w:rsid w:val="00931B38"/>
    <w:rsid w:val="00934D16"/>
    <w:rsid w:val="00960B8C"/>
    <w:rsid w:val="00966FB2"/>
    <w:rsid w:val="00967153"/>
    <w:rsid w:val="00993E7E"/>
    <w:rsid w:val="009A76A4"/>
    <w:rsid w:val="009C4C5C"/>
    <w:rsid w:val="009D6AD8"/>
    <w:rsid w:val="009F1515"/>
    <w:rsid w:val="00A01FCD"/>
    <w:rsid w:val="00A0732E"/>
    <w:rsid w:val="00A11D6B"/>
    <w:rsid w:val="00A17E60"/>
    <w:rsid w:val="00A310CE"/>
    <w:rsid w:val="00A314B8"/>
    <w:rsid w:val="00A50FF1"/>
    <w:rsid w:val="00A748BC"/>
    <w:rsid w:val="00A90151"/>
    <w:rsid w:val="00A915A3"/>
    <w:rsid w:val="00A91B5C"/>
    <w:rsid w:val="00A93CDB"/>
    <w:rsid w:val="00AA42E0"/>
    <w:rsid w:val="00AA488E"/>
    <w:rsid w:val="00AD242A"/>
    <w:rsid w:val="00AF3578"/>
    <w:rsid w:val="00B077D0"/>
    <w:rsid w:val="00B5019B"/>
    <w:rsid w:val="00B526F3"/>
    <w:rsid w:val="00B5307E"/>
    <w:rsid w:val="00B5663A"/>
    <w:rsid w:val="00B62622"/>
    <w:rsid w:val="00B74CD9"/>
    <w:rsid w:val="00BA6DF6"/>
    <w:rsid w:val="00BB70B5"/>
    <w:rsid w:val="00BC70CA"/>
    <w:rsid w:val="00BE10CF"/>
    <w:rsid w:val="00BE54CF"/>
    <w:rsid w:val="00BE6AF3"/>
    <w:rsid w:val="00BF3486"/>
    <w:rsid w:val="00C550B0"/>
    <w:rsid w:val="00C61044"/>
    <w:rsid w:val="00C72D94"/>
    <w:rsid w:val="00C826C3"/>
    <w:rsid w:val="00CA104A"/>
    <w:rsid w:val="00CA1175"/>
    <w:rsid w:val="00CB36EA"/>
    <w:rsid w:val="00CC26D3"/>
    <w:rsid w:val="00CF1D0C"/>
    <w:rsid w:val="00CF49EA"/>
    <w:rsid w:val="00D03521"/>
    <w:rsid w:val="00D07273"/>
    <w:rsid w:val="00D20C33"/>
    <w:rsid w:val="00D214D8"/>
    <w:rsid w:val="00D22649"/>
    <w:rsid w:val="00D22C4E"/>
    <w:rsid w:val="00D25BE7"/>
    <w:rsid w:val="00D26E41"/>
    <w:rsid w:val="00D30306"/>
    <w:rsid w:val="00D87DDB"/>
    <w:rsid w:val="00D92737"/>
    <w:rsid w:val="00D95CC3"/>
    <w:rsid w:val="00DA5888"/>
    <w:rsid w:val="00DC3312"/>
    <w:rsid w:val="00DC4EF0"/>
    <w:rsid w:val="00DE31CD"/>
    <w:rsid w:val="00E00A80"/>
    <w:rsid w:val="00E03501"/>
    <w:rsid w:val="00E078EA"/>
    <w:rsid w:val="00E260F4"/>
    <w:rsid w:val="00E41158"/>
    <w:rsid w:val="00E426E1"/>
    <w:rsid w:val="00E448E6"/>
    <w:rsid w:val="00E50D6F"/>
    <w:rsid w:val="00E55510"/>
    <w:rsid w:val="00E73F18"/>
    <w:rsid w:val="00E807EB"/>
    <w:rsid w:val="00E9737C"/>
    <w:rsid w:val="00EA48B8"/>
    <w:rsid w:val="00EB1C77"/>
    <w:rsid w:val="00EB20D4"/>
    <w:rsid w:val="00EB4FD1"/>
    <w:rsid w:val="00EB630F"/>
    <w:rsid w:val="00ED0900"/>
    <w:rsid w:val="00ED2F3C"/>
    <w:rsid w:val="00EE5F60"/>
    <w:rsid w:val="00EF0821"/>
    <w:rsid w:val="00EF2E31"/>
    <w:rsid w:val="00EF42A0"/>
    <w:rsid w:val="00F00B21"/>
    <w:rsid w:val="00F10AF1"/>
    <w:rsid w:val="00F10F01"/>
    <w:rsid w:val="00F5226F"/>
    <w:rsid w:val="00F53672"/>
    <w:rsid w:val="00F55BA9"/>
    <w:rsid w:val="00F57295"/>
    <w:rsid w:val="00F67BBD"/>
    <w:rsid w:val="00F70F43"/>
    <w:rsid w:val="00F718BF"/>
    <w:rsid w:val="00F80888"/>
    <w:rsid w:val="00F8536B"/>
    <w:rsid w:val="00FA72AD"/>
    <w:rsid w:val="00FB7266"/>
    <w:rsid w:val="00FD0DCB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71F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76"/>
    <w:rPr>
      <w:rFonts w:ascii="Times New Roman" w:eastAsia="Times New Roman" w:hAnsi="Times New Roman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76"/>
    <w:rPr>
      <w:rFonts w:ascii="Times New Roman" w:eastAsia="Times New Roman" w:hAnsi="Times New Roman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Middleton</dc:creator>
  <cp:keywords/>
  <dc:description/>
  <cp:lastModifiedBy>William Balch</cp:lastModifiedBy>
  <cp:revision>41</cp:revision>
  <dcterms:created xsi:type="dcterms:W3CDTF">2020-02-29T05:00:00Z</dcterms:created>
  <dcterms:modified xsi:type="dcterms:W3CDTF">2020-03-03T03:11:00Z</dcterms:modified>
</cp:coreProperties>
</file>