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137" w:rsidRDefault="00DE5137" w:rsidP="00DE5137">
      <w:pPr>
        <w:pStyle w:val="Heading2"/>
      </w:pPr>
      <w:r>
        <w:t>Bio-optical, Biological and Biogeochemical Measurements</w:t>
      </w:r>
    </w:p>
    <w:p w:rsidR="00DE5137" w:rsidRDefault="00DE5137" w:rsidP="00DE5137">
      <w:pPr>
        <w:pStyle w:val="Heading2"/>
      </w:pPr>
    </w:p>
    <w:p w:rsidR="00DE5137" w:rsidRDefault="00DE5137" w:rsidP="00DE5137">
      <w:pPr>
        <w:pStyle w:val="Heading2"/>
      </w:pPr>
      <w:r>
        <w:t xml:space="preserve">William Balch, Dave </w:t>
      </w:r>
      <w:proofErr w:type="spellStart"/>
      <w:r>
        <w:t>Drapeau</w:t>
      </w:r>
      <w:proofErr w:type="spellEnd"/>
      <w:r>
        <w:t>, Bruce Bowler, Colin Fischer</w:t>
      </w:r>
    </w:p>
    <w:p w:rsidR="00DE5137" w:rsidRDefault="00DE5137" w:rsidP="00DE5137">
      <w:pPr>
        <w:pStyle w:val="Heading2"/>
      </w:pPr>
      <w:bookmarkStart w:id="0" w:name="_Hlk34027500"/>
      <w:r>
        <w:t>Bigelow Laboratory for Ocean Sciences</w:t>
      </w:r>
    </w:p>
    <w:p w:rsidR="00DE5137" w:rsidRDefault="00DE5137" w:rsidP="00DE5137">
      <w:pPr>
        <w:pStyle w:val="Heading2"/>
      </w:pPr>
      <w:r>
        <w:t xml:space="preserve">W. Boothbay Harbor, ME  04575 </w:t>
      </w:r>
    </w:p>
    <w:bookmarkEnd w:id="0"/>
    <w:p w:rsidR="00DE5137" w:rsidRDefault="00DE5137" w:rsidP="00DE5137">
      <w:pPr>
        <w:pStyle w:val="Heading2"/>
      </w:pPr>
    </w:p>
    <w:p w:rsidR="00DE5137" w:rsidRDefault="00DE5137" w:rsidP="00DE5137">
      <w:pPr>
        <w:pStyle w:val="Heading2"/>
      </w:pPr>
      <w:r>
        <w:t>Marci Train</w:t>
      </w:r>
    </w:p>
    <w:p w:rsidR="00DE5137" w:rsidRPr="00D71A9C" w:rsidRDefault="00DE5137" w:rsidP="00DE5137">
      <w:pPr>
        <w:rPr>
          <w:b/>
        </w:rPr>
      </w:pPr>
      <w:r w:rsidRPr="00D71A9C">
        <w:rPr>
          <w:b/>
        </w:rPr>
        <w:t>Weather Blur Program</w:t>
      </w:r>
    </w:p>
    <w:p w:rsidR="00DE5137" w:rsidRDefault="00DE5137" w:rsidP="00DE5137">
      <w:pPr>
        <w:rPr>
          <w:b/>
        </w:rPr>
      </w:pPr>
      <w:r>
        <w:rPr>
          <w:b/>
        </w:rPr>
        <w:t>Long Island School</w:t>
      </w:r>
    </w:p>
    <w:p w:rsidR="00DE5137" w:rsidRPr="00A62127" w:rsidRDefault="00DE5137" w:rsidP="00DE5137">
      <w:pPr>
        <w:rPr>
          <w:b/>
        </w:rPr>
      </w:pPr>
      <w:r>
        <w:rPr>
          <w:b/>
        </w:rPr>
        <w:t>Long Island, ME</w:t>
      </w:r>
    </w:p>
    <w:p w:rsidR="00DE5137" w:rsidRDefault="00DE5137" w:rsidP="00DE5137">
      <w:pPr>
        <w:pStyle w:val="Heading2"/>
      </w:pPr>
    </w:p>
    <w:p w:rsidR="00DE5137" w:rsidRDefault="00DE5137" w:rsidP="00DE5137">
      <w:pPr>
        <w:pStyle w:val="Heading2"/>
      </w:pPr>
      <w:r>
        <w:t>Sydney Greenlee</w:t>
      </w:r>
    </w:p>
    <w:p w:rsidR="00DE5137" w:rsidRDefault="00DE5137" w:rsidP="00DE5137">
      <w:pPr>
        <w:pStyle w:val="Heading2"/>
      </w:pPr>
      <w:r>
        <w:t>Undergraduate Intern</w:t>
      </w:r>
    </w:p>
    <w:p w:rsidR="00DE5137" w:rsidRDefault="00DE5137" w:rsidP="00DE5137">
      <w:pPr>
        <w:rPr>
          <w:b/>
          <w:bCs/>
        </w:rPr>
      </w:pPr>
      <w:r>
        <w:rPr>
          <w:b/>
          <w:bCs/>
        </w:rPr>
        <w:t>Colby College</w:t>
      </w:r>
    </w:p>
    <w:p w:rsidR="00DE5137" w:rsidRDefault="00DE5137" w:rsidP="00DE5137">
      <w:r>
        <w:rPr>
          <w:b/>
          <w:bCs/>
        </w:rPr>
        <w:t>Waterville, ME</w:t>
      </w:r>
    </w:p>
    <w:p w:rsidR="00DE5137" w:rsidRDefault="00DE5137" w:rsidP="00DE5137"/>
    <w:p w:rsidR="00DE5137" w:rsidRDefault="00DE5137" w:rsidP="00DE5137">
      <w:pPr>
        <w:ind w:firstLine="720"/>
      </w:pPr>
      <w:r>
        <w:t xml:space="preserve">The Balch lab was involved in sampling a number of variables from the bottle casts, running an optical surface underway system, measuring discrete samples for a variety of water samples (see below).   We also were involved in the carboy experiments.  The Balch group sampled from 53 CTD/full water cast stations during the cruise, taking water from 8 of the 12 </w:t>
      </w:r>
      <w:proofErr w:type="spellStart"/>
      <w:r>
        <w:t>Niskin</w:t>
      </w:r>
      <w:proofErr w:type="spellEnd"/>
      <w:r>
        <w:t xml:space="preserve"> bottles each cast.  Of those 8 bottles, 7 were usually from the euphotic zone and one from deeper in the water column (300-1000m).  Water samples were taken for particulate organic carbon (POC) and particulate organic nitrogen (PON), particulate inorganic carbon (CaCO</w:t>
      </w:r>
      <w:r>
        <w:rPr>
          <w:vertAlign w:val="subscript"/>
        </w:rPr>
        <w:t>3</w:t>
      </w:r>
      <w:r>
        <w:t xml:space="preserve"> or PIC), biogenic silica, photosynthesis/ calcification, and </w:t>
      </w:r>
      <w:proofErr w:type="spellStart"/>
      <w:r>
        <w:t>coccolithophore</w:t>
      </w:r>
      <w:proofErr w:type="spellEnd"/>
      <w:r>
        <w:t xml:space="preserve"> counts (to be processed ashore using polarized light microscopy).  The latter technique is identical to the Canada Balsam technique for enumeration of calcite particles  </w:t>
      </w:r>
      <w:r>
        <w:fldChar w:fldCharType="begin"/>
      </w:r>
      <w:r>
        <w:instrText xml:space="preserve"> ADDIN EN.CITE &lt;EndNote&gt;&lt;Cite&gt;&lt;Author&gt;Haidar&lt;/Author&gt;&lt;Year&gt;2001&lt;/Year&gt;&lt;RecNum&gt;3224&lt;/RecNum&gt;&lt;DisplayText&gt;(Haidar and Thierstein, 2001)&lt;/DisplayText&gt;&lt;record&gt;&lt;rec-number&gt;3224&lt;/rec-number&gt;&lt;foreign-keys&gt;&lt;key app="EN" db-id="zxvfzfrzhzaptaeexw8vepr7pfz9z2pdwf05" timestamp="1417627591"&gt;3224&lt;/key&gt;&lt;/foreign-keys&gt;&lt;ref-type name="Journal Article"&gt;17&lt;/ref-type&gt;&lt;contributors&gt;&lt;authors&gt;&lt;author&gt;Haidar, A. T.&lt;/author&gt;&lt;author&gt;Thierstein, H. R.&lt;/author&gt;&lt;/authors&gt;&lt;/contributors&gt;&lt;titles&gt;&lt;title&gt;Coccolithophore dynamics off Bermuda (N. Atlantic)&lt;/title&gt;&lt;secondary-title&gt;Deep Sea Research&lt;/secondary-title&gt;&lt;/titles&gt;&lt;periodical&gt;&lt;full-title&gt;Deep Sea Research&lt;/full-title&gt;&lt;/periodical&gt;&lt;pages&gt;1925-1956&lt;/pages&gt;&lt;volume&gt;48&lt;/volume&gt;&lt;number&gt;8-9&lt;/number&gt;&lt;keywords&gt;&lt;keyword&gt;Seasonal variations; Environmental factors; Community composition;&lt;/keyword&gt;&lt;keyword&gt;Population dynamics; Light effects; Nutrients (mineral); Dominant&lt;/keyword&gt;&lt;keyword&gt;species; Nutrients; Algae; Bermuda; coccolithophores; Florisphaera&lt;/keyword&gt;&lt;keyword&gt;profunda; Emiliania huxleyi; Umbellosphaera tenuis; Ophiaster&lt;/keyword&gt;&lt;keyword&gt;hydroideus; Syracosphaera molischii; Gephyrocapsa oceanica;&lt;/keyword&gt;&lt;keyword&gt;Calciosolenia; Umbellosphaera irregularis; ANW, Atlantic, Bermuda;&lt;/keyword&gt;&lt;keyword&gt;Atlantic Ocean&lt;/keyword&gt;&lt;keyword&gt;Coccolithophores; Bermuda Atlantic Time-series Study&lt;/keyword&gt;&lt;keyword&gt;Marine&lt;/keyword&gt;&lt;keyword&gt;Q1 01461 Plankton; K 03009 Algae; O 1070 Ecology/Community&lt;/keyword&gt;&lt;keyword&gt;Studies; O 1010 Viruses, Bacteria, Protists, Fungi and Plants&lt;/keyword&gt;&lt;/keywords&gt;&lt;dates&gt;&lt;year&gt;2001&lt;/year&gt;&lt;/dates&gt;&lt;urls&gt;&lt;/urls&gt;&lt;/record&gt;&lt;/Cite&gt;&lt;/EndNote&gt;</w:instrText>
      </w:r>
      <w:r>
        <w:fldChar w:fldCharType="separate"/>
      </w:r>
      <w:r>
        <w:rPr>
          <w:noProof/>
        </w:rPr>
        <w:t>(Haidar and Thierstein, 2001)</w:t>
      </w:r>
      <w:r>
        <w:fldChar w:fldCharType="end"/>
      </w:r>
      <w:r>
        <w:t xml:space="preserve"> except we use Norland #74 brand optical adhesive instead of Canada Balsam.  Chlorophyll </w:t>
      </w:r>
      <w:r>
        <w:rPr>
          <w:i/>
          <w:iCs/>
        </w:rPr>
        <w:t>a</w:t>
      </w:r>
      <w:r>
        <w:t xml:space="preserve"> extractions (</w:t>
      </w:r>
      <w:r>
        <w:fldChar w:fldCharType="begin"/>
      </w:r>
      <w:r>
        <w:instrText xml:space="preserve"> ADDIN EN.CITE &lt;EndNote&gt;&lt;Cite&gt;&lt;Author&gt;JGOFS&lt;/Author&gt;&lt;Year&gt;1996&lt;/Year&gt;&lt;RecNum&gt;517&lt;/RecNum&gt;&lt;DisplayText&gt;(JGOFS, 1996)&lt;/DisplayText&gt;&lt;record&gt;&lt;rec-number&gt;517&lt;/rec-number&gt;&lt;foreign-keys&gt;&lt;key app="EN" db-id="zxvfzfrzhzaptaeexw8vepr7pfz9z2pdwf05" timestamp="1417627576"&gt;517&lt;/key&gt;&lt;/foreign-keys&gt;&lt;ref-type name="Book Section"&gt;5&lt;/ref-type&gt;&lt;contributors&gt;&lt;authors&gt;&lt;author&gt;JGOFS&lt;/author&gt;&lt;/authors&gt;&lt;secondary-authors&gt;&lt;author&gt;Knap, A.&lt;/author&gt;&lt;/secondary-authors&gt;&lt;/contributors&gt;&lt;titles&gt;&lt;title&gt;Protocols for the Joint Global Ocean Flux Study (JGOFS) core measurements&lt;/title&gt;&lt;secondary-title&gt;Report no. 19 of the Joint Global Ocean Flux Study&lt;/secondary-title&gt;&lt;/titles&gt;&lt;pages&gt;170&lt;/pages&gt;&lt;dates&gt;&lt;year&gt;1996&lt;/year&gt;&lt;/dates&gt;&lt;pub-location&gt;Bergen, Norway&lt;/pub-location&gt;&lt;publisher&gt;Scientific committee on oceanic research, international council of scientific unions. Intergovernmental Oceanographic Commission&lt;/publisher&gt;&lt;urls&gt;&lt;/urls&gt;&lt;/record&gt;&lt;/Cite&gt;&lt;/EndNote&gt;</w:instrText>
      </w:r>
      <w:r>
        <w:fldChar w:fldCharType="separate"/>
      </w:r>
      <w:r>
        <w:rPr>
          <w:noProof/>
        </w:rPr>
        <w:t>(JGOFS, 1996)</w:t>
      </w:r>
      <w:r>
        <w:fldChar w:fldCharType="end"/>
      </w:r>
      <w:r>
        <w:t xml:space="preserve"> were performed and for surface bottles always run in triplicate (for incorporation into NASA’s SEABASS data set);  deeper samples were run as single measurements).  Flow-cam samples (</w:t>
      </w:r>
      <w:r>
        <w:fldChar w:fldCharType="begin"/>
      </w:r>
      <w:r>
        <w:instrText xml:space="preserve"> ADDIN EN.CITE &lt;EndNote&gt;&lt;Cite&gt;&lt;Author&gt;Sieracki&lt;/Author&gt;&lt;Year&gt;1998&lt;/Year&gt;&lt;RecNum&gt;1895&lt;/RecNum&gt;&lt;DisplayText&gt;(Sieracki&lt;style face="italic"&gt; et al.&lt;/style&gt;, 1998)&lt;/DisplayText&gt;&lt;record&gt;&lt;source-app name="EndNote" version="17.7"&gt;EndNote&lt;/source-app&gt;&lt;rec-number&gt;0&lt;/rec-number&gt;&lt;ref-type name="Journal Article"&gt;17&lt;/ref-type&gt;&lt;contributors&gt;&lt;authors&gt;&lt;author&gt;&lt;style face="normal" font="default" size="100%"&gt;Sieracki, C. K.&lt;/style&gt;&lt;/author&gt;&lt;author&gt;&lt;style face="normal" font="default" size="100%"&gt;M. E. Sieracki&lt;/style&gt;&lt;/author&gt;&lt;author&gt;&lt;style face="normal" font="default" size="100%"&gt;C. S. Yentsch&lt;/style&gt;&lt;/author&gt;&lt;/authors&gt;&lt;/contributors&gt;&lt;titles&gt;&lt;title&gt;&lt;style face="normal" font="default" size="100%"&gt;An imaging-in-flow system for automated analysis of marine microplankton&lt;/style&gt;&lt;/title&gt;&lt;secondary-title&gt;&lt;style face="normal" font="default" size="100%"&gt;Marine Ecology Progress Series&lt;/style&gt;&lt;/secondary-title&gt;&lt;/titles&gt;&lt;pages&gt;&lt;style face="normal" font="default" size="100%"&gt;285-296&lt;/style&gt;&lt;/pages&gt;&lt;volume&gt;&lt;style face="normal" font="default" size="100%"&gt;168&lt;/style&gt;&lt;/volume&gt;&lt;dates&gt;&lt;year&gt;&lt;style face="normal" font="default" size="100%"&gt;1998&lt;/style&gt;&lt;/year&gt;&lt;/dates&gt;&lt;urls&gt;&lt;/urls&gt;&lt;/record&gt;&lt;/Cite&gt;&lt;/EndNote&gt;</w:instrText>
      </w:r>
      <w:r>
        <w:fldChar w:fldCharType="separate"/>
      </w:r>
      <w:r>
        <w:rPr>
          <w:noProof/>
        </w:rPr>
        <w:t>(Sieracki</w:t>
      </w:r>
      <w:r w:rsidRPr="00B375DE">
        <w:rPr>
          <w:i/>
          <w:noProof/>
        </w:rPr>
        <w:t xml:space="preserve"> et al.</w:t>
      </w:r>
      <w:r>
        <w:rPr>
          <w:noProof/>
        </w:rPr>
        <w:t>, 1998)</w:t>
      </w:r>
      <w:r>
        <w:fldChar w:fldCharType="end"/>
      </w:r>
      <w:r>
        <w:t xml:space="preserve"> were taken from the eight depths of each </w:t>
      </w:r>
      <w:proofErr w:type="spellStart"/>
      <w:r>
        <w:t>Niskin</w:t>
      </w:r>
      <w:proofErr w:type="spellEnd"/>
      <w:r>
        <w:t xml:space="preserve"> cast for enumeration of net and </w:t>
      </w:r>
      <w:proofErr w:type="spellStart"/>
      <w:r>
        <w:t>nanoplankton</w:t>
      </w:r>
      <w:proofErr w:type="spellEnd"/>
      <w:r>
        <w:t xml:space="preserve"> as well as deriving size distribution functions.  Samples for scanning electron microscope analysis were taken and prepared for analysis ashore.  At each productivity station, two samples (surface mixed layer and deep euphotic zone (fluorescence maximum)) were taken and samples concentrated for microscopy.  The Filter Freeze Transfer technique </w:t>
      </w:r>
      <w:r>
        <w:fldChar w:fldCharType="begin"/>
      </w:r>
      <w:r>
        <w:instrText xml:space="preserve"> ADDIN EN.CITE &lt;EndNote&gt;&lt;Cite&gt;&lt;Author&gt;Hewes&lt;/Author&gt;&lt;Year&gt;1983&lt;/Year&gt;&lt;RecNum&gt;2333&lt;/RecNum&gt;&lt;DisplayText&gt;(Hewes and Holm-Hansen, 1983)&lt;/DisplayText&gt;&lt;record&gt;&lt;rec-number&gt;2333&lt;/rec-number&gt;&lt;foreign-keys&gt;&lt;key app="EN" db-id="zxvfzfrzhzaptaeexw8vepr7pfz9z2pdwf05" timestamp="1417627586"&gt;2333&lt;/key&gt;&lt;/foreign-keys&gt;&lt;ref-type name="Journal Article"&gt;17&lt;/ref-type&gt;&lt;contributors&gt;&lt;authors&gt;&lt;author&gt;Hewes, C. D.&lt;/author&gt;&lt;author&gt;Holm-Hansen, O.&lt;/author&gt;&lt;/authors&gt;&lt;/contributors&gt;&lt;titles&gt;&lt;title&gt;A method for recovering nanoplankton from filters for identification with the microscope:  The filter-transfer-freeze (FTF) technique.&lt;/title&gt;&lt;secondary-title&gt;Limnology and Oceanography&lt;/secondary-title&gt;&lt;/titles&gt;&lt;periodical&gt;&lt;full-title&gt;Limnology and Oceanography&lt;/full-title&gt;&lt;abbr-1&gt;Limnol. Oceanogr.&lt;/abbr-1&gt;&lt;/periodical&gt;&lt;pages&gt;389-394&lt;/pages&gt;&lt;volume&gt;28&lt;/volume&gt;&lt;dates&gt;&lt;year&gt;1983&lt;/year&gt;&lt;/dates&gt;&lt;urls&gt;&lt;/urls&gt;&lt;/record&gt;&lt;/Cite&gt;&lt;/EndNote&gt;</w:instrText>
      </w:r>
      <w:r>
        <w:fldChar w:fldCharType="separate"/>
      </w:r>
      <w:r>
        <w:rPr>
          <w:noProof/>
        </w:rPr>
        <w:t>(Hewes and Holm-Hansen, 1983)</w:t>
      </w:r>
      <w:r>
        <w:fldChar w:fldCharType="end"/>
      </w:r>
      <w:r>
        <w:t xml:space="preserve"> was used in which typically 250mL of sample were concentrated onto a 25mm, 0.4um-poresize, polycarbonate filter and the particles transferred to a glass microscope slide for examination using an American Optical polarizing microscope equipped with epifluorescence (with excitation wavelengths at about 480nm and 530nm).  Samples were examined at any of four magnifications (100X, 200X</w:t>
      </w:r>
      <w:proofErr w:type="gramStart"/>
      <w:r>
        <w:t>,  and</w:t>
      </w:r>
      <w:proofErr w:type="gramEnd"/>
      <w:r>
        <w:t xml:space="preserve"> 400X, the vast majority on this trip were photographed at 400X) under four types of illumination: bright field, polarized (to visualize calcium carbonate </w:t>
      </w:r>
      <w:proofErr w:type="spellStart"/>
      <w:r>
        <w:t>coccoliths</w:t>
      </w:r>
      <w:proofErr w:type="spellEnd"/>
      <w:r>
        <w:t xml:space="preserve">) and epifluorescence (for discriminating </w:t>
      </w:r>
      <w:proofErr w:type="spellStart"/>
      <w:r>
        <w:t>autofluorescent</w:t>
      </w:r>
      <w:proofErr w:type="spellEnd"/>
      <w:r>
        <w:t xml:space="preserve">, autotrophic cells versus heterotrophic, </w:t>
      </w:r>
      <w:proofErr w:type="spellStart"/>
      <w:r>
        <w:t>nonfluorescent</w:t>
      </w:r>
      <w:proofErr w:type="spellEnd"/>
      <w:r>
        <w:t xml:space="preserve"> cells. See figure 2 of cruise narrative for example).  High resolution photos were taken with a Canon EOS Rebel digital camera mounted on the </w:t>
      </w:r>
      <w:proofErr w:type="spellStart"/>
      <w:r>
        <w:t>trinocular</w:t>
      </w:r>
      <w:proofErr w:type="spellEnd"/>
      <w:r>
        <w:t xml:space="preserve"> head of the microscope.</w:t>
      </w:r>
    </w:p>
    <w:p w:rsidR="00DE5137" w:rsidRDefault="00DE5137" w:rsidP="00DE5137"/>
    <w:p w:rsidR="00DE5137" w:rsidRDefault="00DE5137" w:rsidP="00DE5137">
      <w:pPr>
        <w:ind w:firstLine="720"/>
      </w:pPr>
      <w:r>
        <w:lastRenderedPageBreak/>
        <w:t xml:space="preserve">The Balch lab bio-optical underway system was run continuously over the course of the trip.  This system has been described elsewhere </w:t>
      </w:r>
      <w:r>
        <w:fldChar w:fldCharType="begin"/>
      </w:r>
      <w:r>
        <w:instrText xml:space="preserve"> ADDIN EN.CITE &lt;EndNote&gt;&lt;Cite&gt;&lt;Author&gt;Balch&lt;/Author&gt;&lt;Year&gt;2008&lt;/Year&gt;&lt;RecNum&gt;5669&lt;/RecNum&gt;&lt;DisplayText&gt;(Balch&lt;style face="italic"&gt; et al.&lt;/style&gt;, 2008)&lt;/DisplayText&gt;&lt;record&gt;&lt;rec-number&gt;5669&lt;/rec-number&gt;&lt;foreign-keys&gt;&lt;key app="EN" db-id="zxvfzfrzhzaptaeexw8vepr7pfz9z2pdwf05" timestamp="1417627603"&gt;5669&lt;/key&gt;&lt;/foreign-keys&gt;&lt;ref-type name="Journal Article"&gt;17&lt;/ref-type&gt;&lt;contributors&gt;&lt;authors&gt;&lt;author&gt;Balch, W. M. &lt;/author&gt;&lt;author&gt;Drapeau, D. T. &lt;/author&gt;&lt;author&gt;Bowler, B. C. &lt;/author&gt;&lt;author&gt;Booth, E. S. &lt;/author&gt;&lt;author&gt;Windecker, L. A. &lt;/author&gt;&lt;author&gt;Ashe, A. &lt;/author&gt;&lt;/authors&gt;&lt;/contributors&gt;&lt;titles&gt;&lt;title&gt;Space-time variability of carbon standing stocks and fixation rates in the Gulf of Maine, along the GNATS transect between Portland, ME and Yarmouth, NS.&lt;/title&gt;&lt;secondary-title&gt;Journal of Plankton Research&lt;/secondary-title&gt;&lt;/titles&gt;&lt;periodical&gt;&lt;full-title&gt;Journal of Plankton Research&lt;/full-title&gt;&lt;abbr-1&gt;J. Plankton Res.&lt;/abbr-1&gt;&lt;/periodical&gt;&lt;pages&gt;119-139&lt;/pages&gt;&lt;volume&gt;30&lt;/volume&gt;&lt;number&gt;2&lt;/number&gt;&lt;dates&gt;&lt;year&gt;2008&lt;/year&gt;&lt;/dates&gt;&lt;accession-num&gt; DOI: 10.1093/PLANKT/FBM097&lt;/accession-num&gt;&lt;urls&gt;&lt;/urls&gt;&lt;/record&gt;&lt;/Cite&gt;&lt;/EndNote&gt;</w:instrText>
      </w:r>
      <w:r>
        <w:fldChar w:fldCharType="separate"/>
      </w:r>
      <w:r>
        <w:rPr>
          <w:noProof/>
        </w:rPr>
        <w:t>(Balch</w:t>
      </w:r>
      <w:r w:rsidRPr="00B375DE">
        <w:rPr>
          <w:i/>
          <w:noProof/>
        </w:rPr>
        <w:t xml:space="preserve"> et al.</w:t>
      </w:r>
      <w:r>
        <w:rPr>
          <w:noProof/>
        </w:rPr>
        <w:t>, 2008)</w:t>
      </w:r>
      <w:r>
        <w:fldChar w:fldCharType="end"/>
      </w:r>
      <w:r>
        <w:t xml:space="preserve">.  Basically it measures temperature, salinity, chlorophyll </w:t>
      </w:r>
      <w:r>
        <w:rPr>
          <w:i/>
          <w:iCs/>
        </w:rPr>
        <w:t>a</w:t>
      </w:r>
      <w:r>
        <w:t xml:space="preserve"> fluorescence and backscattering at 531nm (using a </w:t>
      </w:r>
      <w:proofErr w:type="spellStart"/>
      <w:r>
        <w:t>WETLabs</w:t>
      </w:r>
      <w:proofErr w:type="spellEnd"/>
      <w:r>
        <w:t xml:space="preserve"> ECOVSF sensor aimed into a specially-designed container which minimizes wall reflectance, hence maximizing the light scattering signal associated with marine particulate matter).  First, the system measures backscattering of 531nm light with raw seawater (pH=8.1) running through the system for one minute.  After 60 seconds of data  collection (or whatever time period was set in order to achieve statistically-significant measurements), the acid controller injected 0.2um-filtered, 10% glacial acid into the seawater stream, passing through a static mixing coil to thoroughly mix it with the seawater, </w:t>
      </w:r>
      <w:r>
        <w:rPr>
          <w:i/>
          <w:iCs/>
        </w:rPr>
        <w:t>upstream</w:t>
      </w:r>
      <w:r>
        <w:t xml:space="preserve"> of the ECOVSF.  This reduced the pH to 5.5, below the dissociation point for calcium carbonate.  A pH sensor </w:t>
      </w:r>
      <w:r>
        <w:rPr>
          <w:i/>
          <w:iCs/>
        </w:rPr>
        <w:t>downstream</w:t>
      </w:r>
      <w:r>
        <w:t xml:space="preserve"> of the sample chamber measured the pH constantly.  Once the pH dropped below pH 5.4, the backscattering was re-measured for 60s after which the acid additions stopped and the pH re-equilibrated and the entire cycle repeated.  The difference in backscattering between raw seawater and acidified seawater represented “acid-labile backscattering” (b</w:t>
      </w:r>
      <w:r>
        <w:rPr>
          <w:vertAlign w:val="subscript"/>
        </w:rPr>
        <w:t>b</w:t>
      </w:r>
      <w:r>
        <w:t xml:space="preserve">’), which can be directly related to the concentration of suspended calcium carbonate </w:t>
      </w:r>
      <w:r>
        <w:fldChar w:fldCharType="begin"/>
      </w:r>
      <w:r>
        <w:instrText xml:space="preserve"> ADDIN EN.CITE &lt;EndNote&gt;&lt;Cite&gt;&lt;Author&gt;Balch&lt;/Author&gt;&lt;Year&gt;1996&lt;/Year&gt;&lt;RecNum&gt;74&lt;/RecNum&gt;&lt;DisplayText&gt;(Balch&lt;style face="italic"&gt; et al.&lt;/style&gt;, 1996)&lt;/DisplayText&gt;&lt;record&gt;&lt;rec-number&gt;74&lt;/rec-number&gt;&lt;foreign-keys&gt;&lt;key app="EN" db-id="zxvfzfrzhzaptaeexw8vepr7pfz9z2pdwf05" timestamp="1417627573"&gt;74&lt;/key&gt;&lt;/foreign-keys&gt;&lt;ref-type name="Journal Article"&gt;17&lt;/ref-type&gt;&lt;contributors&gt;&lt;authors&gt;&lt;author&gt;Balch, W. M.&lt;/author&gt;&lt;author&gt;K. Kilpatrick&lt;/author&gt;&lt;author&gt;P. M. Holligan&lt;/author&gt;&lt;author&gt;D. Harbour&lt;/author&gt;&lt;author&gt;E. Fernandez&lt;/author&gt;&lt;/authors&gt;&lt;/contributors&gt;&lt;titles&gt;&lt;title&gt;The 1991 coccolithophore bloom in the central north Atlantic.  II. Relating optics to coccolith concentration&lt;/title&gt;&lt;secondary-title&gt;Limnology and Oceanography&lt;/secondary-title&gt;&lt;/titles&gt;&lt;periodical&gt;&lt;full-title&gt;Limnology and Oceanography&lt;/full-title&gt;&lt;abbr-1&gt;Limnol. Oceanogr.&lt;/abbr-1&gt;&lt;/periodical&gt;&lt;pages&gt;1684-1696&lt;/pages&gt;&lt;volume&gt; 41&lt;/volume&gt;&lt;dates&gt;&lt;year&gt;1996&lt;/year&gt;&lt;/dates&gt;&lt;urls&gt;&lt;/urls&gt;&lt;/record&gt;&lt;/Cite&gt;&lt;/EndNote&gt;</w:instrText>
      </w:r>
      <w:r>
        <w:fldChar w:fldCharType="separate"/>
      </w:r>
      <w:r>
        <w:rPr>
          <w:noProof/>
        </w:rPr>
        <w:t>(Balch</w:t>
      </w:r>
      <w:r w:rsidRPr="00B375DE">
        <w:rPr>
          <w:i/>
          <w:noProof/>
        </w:rPr>
        <w:t xml:space="preserve"> et al.</w:t>
      </w:r>
      <w:r>
        <w:rPr>
          <w:noProof/>
        </w:rPr>
        <w:t>, 1996)</w:t>
      </w:r>
      <w:r>
        <w:fldChar w:fldCharType="end"/>
      </w:r>
      <w:r>
        <w:t xml:space="preserve">.  </w:t>
      </w:r>
    </w:p>
    <w:p w:rsidR="00DE5137" w:rsidRDefault="00DE5137" w:rsidP="00DE5137"/>
    <w:p w:rsidR="00DE5137" w:rsidRDefault="00DE5137" w:rsidP="00DE5137">
      <w:pPr>
        <w:pStyle w:val="BodyTextIndent"/>
      </w:pPr>
      <w:r>
        <w:t xml:space="preserve">The Balch lab bio-optical underway system had a separate flow loop that passed through a </w:t>
      </w:r>
      <w:proofErr w:type="spellStart"/>
      <w:r>
        <w:t>WETLabs</w:t>
      </w:r>
      <w:proofErr w:type="spellEnd"/>
      <w:r>
        <w:t xml:space="preserve"> ac-9, to measure spectral absorption and attenuation.  In the flow path to the ac-9 was a solenoid that diverted the seawater stream through a 1um filter, then a 0.2 um filter prior to running the water through the ac-9.  Every two minutes, the solenoid would alternate between filtered and unfiltered seawater, thus providing absorption and attenuation (at 9 spectral wavelengths across the visible spectrum) for raw and filtered seawater.  In turn, this allows calculation </w:t>
      </w:r>
      <w:proofErr w:type="gramStart"/>
      <w:r>
        <w:t>of  the</w:t>
      </w:r>
      <w:proofErr w:type="gramEnd"/>
      <w:r>
        <w:t xml:space="preserve"> absorption and attenuation of total suspended particles and dissolved organic matter.  The difference between raw and dissolved ac-9 measurements </w:t>
      </w:r>
      <w:proofErr w:type="gramStart"/>
      <w:r>
        <w:t>represents  particulate</w:t>
      </w:r>
      <w:proofErr w:type="gramEnd"/>
      <w:r>
        <w:t xml:space="preserve"> absorption and beam attenuation.  Calibrations of the complete underway system were performed two ways: 1) daily, ultra-filtered 0.2um seawater was run through the entire system in order to estimate signals derived from ultra-clean seawater 2</w:t>
      </w:r>
      <w:proofErr w:type="gramStart"/>
      <w:r>
        <w:t>)  approximately</w:t>
      </w:r>
      <w:proofErr w:type="gramEnd"/>
      <w:r>
        <w:t xml:space="preserve"> bi-weekly a calibration was performed by taking the instruments apart, cleaning and drying the sensors, and reassembly.  This was done over the cruise as well as a final calibration at the completion of the cruise.  These calibrations are used to estimate biofouling corrections during each operation period.   The protocol was to run 0.2um filtered RO water from the ship’s </w:t>
      </w:r>
      <w:proofErr w:type="spellStart"/>
      <w:r>
        <w:t>Milli</w:t>
      </w:r>
      <w:proofErr w:type="spellEnd"/>
      <w:r>
        <w:t>-Q system, under pressure, through the entire flow path prior to cleaning (“a dirty calibration” which provides the endpoint for estimating the optical contribution of biofouling). Then the system is carefully disassembled and cleaned, reassembled and a “clean calibration” performed (which represents the beginning calibration for the next operation segment, with no bio-fouling.  Post cruise, the biofouling corrections are interpolated between the initial clean calibration and the following dirty calibration.</w:t>
      </w:r>
    </w:p>
    <w:p w:rsidR="00DE5137" w:rsidRDefault="00DE5137" w:rsidP="00DE5137"/>
    <w:p w:rsidR="00DE5137" w:rsidRDefault="00DE5137" w:rsidP="00DE5137">
      <w:pPr>
        <w:ind w:firstLine="720"/>
      </w:pPr>
      <w:r>
        <w:t xml:space="preserve">On the bow of the </w:t>
      </w:r>
      <w:r>
        <w:rPr>
          <w:i/>
          <w:iCs/>
        </w:rPr>
        <w:t>R/V Thompson</w:t>
      </w:r>
      <w:r>
        <w:t xml:space="preserve"> was a </w:t>
      </w:r>
      <w:proofErr w:type="spellStart"/>
      <w:r>
        <w:t>Satlantic</w:t>
      </w:r>
      <w:proofErr w:type="spellEnd"/>
      <w:r>
        <w:t xml:space="preserve"> </w:t>
      </w:r>
      <w:proofErr w:type="spellStart"/>
      <w:r>
        <w:t>SeaWiFS</w:t>
      </w:r>
      <w:proofErr w:type="spellEnd"/>
      <w:r>
        <w:t xml:space="preserve"> Aircraft Simulator (</w:t>
      </w:r>
      <w:proofErr w:type="spellStart"/>
      <w:r>
        <w:t>HyperSAS</w:t>
      </w:r>
      <w:proofErr w:type="spellEnd"/>
      <w:r>
        <w:t xml:space="preserve">) system mounted to an Underway Aiming System (UAS), used to estimate water-leaving radiance from the ship, analogous to </w:t>
      </w:r>
      <w:proofErr w:type="spellStart"/>
      <w:r>
        <w:t>to</w:t>
      </w:r>
      <w:proofErr w:type="spellEnd"/>
      <w:r>
        <w:t xml:space="preserve"> the </w:t>
      </w:r>
      <w:proofErr w:type="spellStart"/>
      <w:r>
        <w:t>nLw</w:t>
      </w:r>
      <w:proofErr w:type="spellEnd"/>
      <w:r>
        <w:t xml:space="preserve"> derived by the </w:t>
      </w:r>
      <w:proofErr w:type="spellStart"/>
      <w:r>
        <w:t>SeaWiFS</w:t>
      </w:r>
      <w:proofErr w:type="spellEnd"/>
      <w:r>
        <w:t xml:space="preserve"> and MODIS satellite sensors, but free from atmospheric error (hence, it can provide radiometric data below clouds).  The system consisted of a down-looking radiance sensor and a sky-viewing radiance sensor, both mounted on UAS.  A </w:t>
      </w:r>
      <w:proofErr w:type="spellStart"/>
      <w:r>
        <w:t>downwelling</w:t>
      </w:r>
      <w:proofErr w:type="spellEnd"/>
      <w:r>
        <w:t xml:space="preserve"> irradiance sensor was mounted as far as possible from any potentially shading structures.  These data were used to estimate normalized water-</w:t>
      </w:r>
      <w:r>
        <w:lastRenderedPageBreak/>
        <w:t>leaving radiance as a function of wavelength.   The radiance detector was set to view the water at 40</w:t>
      </w:r>
      <w:r>
        <w:rPr>
          <w:vertAlign w:val="superscript"/>
        </w:rPr>
        <w:t>o</w:t>
      </w:r>
      <w:r>
        <w:t xml:space="preserve"> from nadir as recommended by Mueller et al. </w:t>
      </w:r>
      <w:r>
        <w:fldChar w:fldCharType="begin"/>
      </w:r>
      <w:r>
        <w:instrText xml:space="preserve"> ADDIN EN.CITE &lt;EndNote&gt;&lt;Cite ExcludeAuth="1"&gt;&lt;Author&gt;Mueller&lt;/Author&gt;&lt;Year&gt;2003&lt;/Year&gt;&lt;RecNum&gt;3316&lt;/RecNum&gt;&lt;DisplayText&gt;(2003b)&lt;/DisplayText&gt;&lt;record&gt;&lt;rec-number&gt;3316&lt;/rec-number&gt;&lt;foreign-keys&gt;&lt;key app="EN" db-id="zxvfzfrzhzaptaeexw8vepr7pfz9z2pdwf05" timestamp="1417627591"&gt;3316&lt;/key&gt;&lt;/foreign-keys&gt;&lt;ref-type name="Government Document"&gt;46&lt;/ref-type&gt;&lt;contributors&gt;&lt;authors&gt;&lt;author&gt;Mueller, J. L.&lt;/author&gt;&lt;author&gt;Morel, A.&lt;/author&gt;&lt;author&gt;Frouin, R.&lt;/author&gt;&lt;author&gt;Davis, C.&lt;/author&gt;&lt;author&gt;Arnone, R.&lt;/author&gt;&lt;author&gt;Carder, K.&lt;/author&gt;&lt;author&gt;Lee, Z. P.&lt;/author&gt;&lt;author&gt;Steward, R.G.&lt;/author&gt;&lt;author&gt;Hooker, S. B.&lt;/author&gt;&lt;author&gt;Mobley, C. D.&lt;/author&gt;&lt;author&gt;McLean, S.&lt;/author&gt;&lt;author&gt;Holben, B.&lt;/author&gt;&lt;author&gt;Miller, M.&lt;/author&gt;&lt;author&gt;Pietras, C.&lt;/author&gt;&lt;author&gt;Knobelspiesse, K.D.&lt;/author&gt;&lt;author&gt;Fargion, G. S.&lt;/author&gt;&lt;author&gt;Porter, J.&lt;/author&gt;&lt;author&gt;Voss, K.&lt;/author&gt;&lt;/authors&gt;&lt;/contributors&gt;&lt;titles&gt;&lt;title&gt;Ocean optics protocols for satellite ocean color sensor validation, Revision 4, Volume III:  Radiometric measurements and data analysis protocols &lt;/title&gt;&lt;/titles&gt;&lt;pages&gt;78&lt;/pages&gt;&lt;dates&gt;&lt;year&gt;2003&lt;/year&gt;&lt;pub-dates&gt;&lt;date&gt;January 2003&lt;/date&gt;&lt;/pub-dates&gt;&lt;/dates&gt;&lt;pub-location&gt;Greenbelt, MD&lt;/pub-location&gt;&lt;publisher&gt;Goddard Space Flight Center&lt;/publisher&gt;&lt;accession-num&gt;NASA/TM-2003-211621/Rev4-Vol.III&lt;/accession-num&gt;&lt;urls&gt;&lt;/urls&gt;&lt;/record&gt;&lt;/Cite&gt;&lt;/EndNote&gt;</w:instrText>
      </w:r>
      <w:r>
        <w:fldChar w:fldCharType="separate"/>
      </w:r>
      <w:r>
        <w:rPr>
          <w:noProof/>
        </w:rPr>
        <w:t>(2003b)</w:t>
      </w:r>
      <w:r>
        <w:fldChar w:fldCharType="end"/>
      </w:r>
      <w:r>
        <w:t>.   The water radiance sensor was able to view over an azimuth range of ~200</w:t>
      </w:r>
      <w:r>
        <w:rPr>
          <w:vertAlign w:val="superscript"/>
        </w:rPr>
        <w:t>o</w:t>
      </w:r>
      <w:r>
        <w:t xml:space="preserve"> across the ship’s heading with no contamination from the ship’s wake.  The direction of the sensor was adjusted to view the water 120</w:t>
      </w:r>
      <w:r>
        <w:rPr>
          <w:vertAlign w:val="superscript"/>
        </w:rPr>
        <w:t xml:space="preserve"> o</w:t>
      </w:r>
      <w:r>
        <w:t xml:space="preserve"> from the sun's azimuth, to minimize sun glint.  This was continually adjusted as the time and ship’s gyro heading were used to calculate the sun's position using an astronomical solar position subroutine interfaced with a stepping motor which was attached to the radiometer mount (designed and fabricated at Bigelow Laboratory for Ocean Sciences).  Protocols for operation and calibration were performed according to Mueller </w:t>
      </w:r>
      <w:r>
        <w:fldChar w:fldCharType="begin">
          <w:fldData xml:space="preserve">PEVuZE5vdGU+PENpdGU+PEF1dGhvcj5NdWVsbGVyPC9BdXRob3I+PFllYXI+MjAwMzwvWWVhcj48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</w:fldData>
        </w:fldChar>
      </w:r>
      <w:r>
        <w:instrText xml:space="preserve"> ADDIN EN.CITE </w:instrText>
      </w:r>
      <w:r>
        <w:fldChar w:fldCharType="begin">
          <w:fldData xml:space="preserve">PEVuZE5vdGU+PENpdGU+PEF1dGhvcj5NdWVsbGVyPC9BdXRob3I+PFllYXI+MjAwMzwvWWVhcj48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</w:fldData>
        </w:fldChar>
      </w:r>
      <w:r>
        <w:instrText xml:space="preserve"> ADDIN EN.CITE.DATA </w:instrText>
      </w:r>
      <w:r>
        <w:fldChar w:fldCharType="end"/>
      </w:r>
      <w:r>
        <w:fldChar w:fldCharType="separate"/>
      </w:r>
      <w:r>
        <w:rPr>
          <w:noProof/>
        </w:rPr>
        <w:t>(Mueller</w:t>
      </w:r>
      <w:r w:rsidRPr="00B375DE">
        <w:rPr>
          <w:i/>
          <w:noProof/>
        </w:rPr>
        <w:t xml:space="preserve"> et al.</w:t>
      </w:r>
      <w:r>
        <w:rPr>
          <w:noProof/>
        </w:rPr>
        <w:t>, 2003a; Mueller</w:t>
      </w:r>
      <w:r w:rsidRPr="00B375DE">
        <w:rPr>
          <w:i/>
          <w:noProof/>
        </w:rPr>
        <w:t xml:space="preserve"> et al.</w:t>
      </w:r>
      <w:r>
        <w:rPr>
          <w:noProof/>
        </w:rPr>
        <w:t>, 2003b; Mueller</w:t>
      </w:r>
      <w:r w:rsidRPr="00B375DE">
        <w:rPr>
          <w:i/>
          <w:noProof/>
        </w:rPr>
        <w:t xml:space="preserve"> et al.</w:t>
      </w:r>
      <w:r>
        <w:rPr>
          <w:noProof/>
        </w:rPr>
        <w:t>, 2003c)</w:t>
      </w:r>
      <w:r>
        <w:fldChar w:fldCharType="end"/>
      </w:r>
      <w:r w:rsidRPr="007F48D3">
        <w:rPr>
          <w:lang w:val="it-IT"/>
        </w:rPr>
        <w:t xml:space="preserve">.   </w:t>
      </w:r>
      <w:r>
        <w:t xml:space="preserve">Before 1000h and after 1400h, data quality was poorer as the solar zenith angle was too low.  Post-cruise, the 1 Hz data are filtered to remove as much residual white cap and glint as possible (we accept the lowest 5% of the data).   </w:t>
      </w:r>
    </w:p>
    <w:p w:rsidR="00DE5137" w:rsidRDefault="00DE5137" w:rsidP="00DE5137">
      <w:pPr>
        <w:pStyle w:val="BodyTextIndent"/>
        <w:ind w:firstLine="0"/>
      </w:pPr>
    </w:p>
    <w:p w:rsidR="00DE5137" w:rsidRDefault="00DE5137" w:rsidP="00DE5137">
      <w:pPr>
        <w:ind w:firstLine="360"/>
      </w:pPr>
      <w:r>
        <w:t xml:space="preserve">At the daily pre-dawn cast, samples were taken for measuring primary production and calcification from the 30L </w:t>
      </w:r>
      <w:proofErr w:type="spellStart"/>
      <w:r>
        <w:t>Niskin</w:t>
      </w:r>
      <w:proofErr w:type="spellEnd"/>
      <w:r>
        <w:t xml:space="preserve"> samples.   Water was sampled from 6 light depths: </w:t>
      </w:r>
      <w:bookmarkStart w:id="1" w:name="OLE_LINK5"/>
      <w:r>
        <w:t xml:space="preserve">38.6%, 21.1%, 11.7%, 3.5%, 1.9% and 0.3%.  Estimation of those light depths </w:t>
      </w:r>
      <w:bookmarkEnd w:id="1"/>
      <w:r>
        <w:t xml:space="preserve">was performed based on the assumption that the fluorescence maximum was located at the 1% light depth </w:t>
      </w:r>
      <w:r>
        <w:fldChar w:fldCharType="begin"/>
      </w:r>
      <w:r>
        <w:instrText xml:space="preserve"> ADDIN EN.CITE &lt;EndNote&gt;&lt;Cite&gt;&lt;Author&gt;Poulton&lt;/Author&gt;&lt;Year&gt;2017&lt;/Year&gt;&lt;RecNum&gt;21143&lt;/RecNum&gt;&lt;DisplayText&gt;(Poulton&lt;style face="italic"&gt; et al.&lt;/style&gt;, 2017)&lt;/DisplayText&gt;&lt;record&gt;&lt;rec-number&gt;21143&lt;/rec-number&gt;&lt;foreign-keys&gt;&lt;key app="EN" db-id="zxvfzfrzhzaptaeexw8vepr7pfz9z2pdwf05" timestamp="1490901844"&gt;21143&lt;/key&gt;&lt;/foreign-keys&gt;&lt;ref-type name="Journal Article"&gt;17&lt;/ref-type&gt;&lt;contributors&gt;&lt;authors&gt;&lt;author&gt;Poulton, A. J.&lt;/author&gt;&lt;author&gt;Holligan, P. M.&lt;/author&gt;&lt;author&gt;Charalampopoulou, A.&lt;/author&gt;&lt;author&gt;Adey, T. R.&lt;/author&gt;&lt;/authors&gt;&lt;/contributors&gt;&lt;auth-address&gt;Ocean Biogeochemistry and Ecosystems, National Oceanography Centre, Waterfront Campus, Southampton SO14 3ZH, UK&amp;#xD;Ocean and Earth Sciences, National Oceanography Centre Southampton, University of Southampton, Southampton SO14 3ZH, UK&lt;/auth-address&gt;&lt;titles&gt;&lt;title&gt;Coccolithophore ecology in the tropical and subtropical Atlantic Ocean: New perspectives from the Atlantic meridional transect (AMT) programme&lt;/title&gt;&lt;secondary-title&gt;Progress in Oceanography&lt;/secondary-title&gt;&lt;/titles&gt;&lt;periodical&gt;&lt;full-title&gt;Progress in Oceanography&lt;/full-title&gt;&lt;abbr-1&gt;Prog. Oceanog.&lt;/abbr-1&gt;&lt;/periodical&gt;&lt;pages&gt;doi: 10.1016/j.pocean.2017.01.003&lt;/pages&gt;&lt;keywords&gt;&lt;keyword&gt;Atlantic Ocean&lt;/keyword&gt;&lt;keyword&gt;Biogeography&lt;/keyword&gt;&lt;keyword&gt;Coccolithophores&lt;/keyword&gt;&lt;keyword&gt;Equatorial waters&lt;/keyword&gt;&lt;keyword&gt;Euphotic zone&lt;/keyword&gt;&lt;keyword&gt;Mixotrophy&lt;/keyword&gt;&lt;keyword&gt;Physiology&lt;/keyword&gt;&lt;keyword&gt;Subtropical&lt;/keyword&gt;&lt;keyword&gt;Temperate waters&lt;/keyword&gt;&lt;keyword&gt;Tropics&lt;/keyword&gt;&lt;/keywords&gt;&lt;dates&gt;&lt;year&gt;2017&lt;/year&gt;&lt;/dates&gt;&lt;work-type&gt;Article in Press&lt;/work-type&gt;&lt;urls&gt;&lt;related-urls&gt;&lt;url&gt;https://www.scopus.com/inward/record.uri?eid=2-s2.0-85009987958&amp;amp;doi=10.1016%2fj.pocean.2017.01.003&amp;amp;partnerID=40&amp;amp;md5=6355ff017d22e3aefbd4e03469a98263&lt;/url&gt;&lt;/related-urls&gt;&lt;/urls&gt;&lt;electronic-resource-num&gt;10.1016/j.pocean.2017.01.003&lt;/electronic-resource-num&gt;&lt;remote-database-name&gt;Scopus&lt;/remote-database-name&gt;&lt;/record&gt;&lt;/Cite&gt;&lt;/EndNote&gt;</w:instrText>
      </w:r>
      <w:r>
        <w:fldChar w:fldCharType="separate"/>
      </w:r>
      <w:r>
        <w:rPr>
          <w:noProof/>
        </w:rPr>
        <w:t>(Poulton</w:t>
      </w:r>
      <w:r w:rsidRPr="00B375DE">
        <w:rPr>
          <w:i/>
          <w:noProof/>
        </w:rPr>
        <w:t xml:space="preserve"> et al.</w:t>
      </w:r>
      <w:r>
        <w:rPr>
          <w:noProof/>
        </w:rPr>
        <w:t>, 2017)</w:t>
      </w:r>
      <w:r>
        <w:fldChar w:fldCharType="end"/>
      </w:r>
      <w:r>
        <w:t xml:space="preserve">.    Water samples for incubation were transferred from </w:t>
      </w:r>
      <w:proofErr w:type="spellStart"/>
      <w:r>
        <w:t>Niskin</w:t>
      </w:r>
      <w:proofErr w:type="spellEnd"/>
      <w:r>
        <w:t xml:space="preserve"> bottles to incubation bottles, typically inside the ship’s enclosed hanger, under subdued light conditions.  Water samples were pre-filtered through 120</w:t>
      </w:r>
      <w:r>
        <w:rPr>
          <w:rFonts w:ascii="Symbol" w:hAnsi="Symbol"/>
        </w:rPr>
        <w:t></w:t>
      </w:r>
      <w:r>
        <w:t xml:space="preserve">m </w:t>
      </w:r>
      <w:proofErr w:type="spellStart"/>
      <w:r>
        <w:t>nitex</w:t>
      </w:r>
      <w:proofErr w:type="spellEnd"/>
      <w:r>
        <w:t xml:space="preserve"> mesh to remove large grazers.  Incubations were performed in 70 mL polystyrene tissue culture bottles that were previously acid-cleaned, rinsed with ethanol, reverse-osmosis water, then rinsed 5x with each sea water sample prior to filling.   Photosynthesis and calcification were measured using the </w:t>
      </w:r>
      <w:proofErr w:type="spellStart"/>
      <w:r>
        <w:t>microdiffusion</w:t>
      </w:r>
      <w:proofErr w:type="spellEnd"/>
      <w:r>
        <w:t xml:space="preserve"> technique </w:t>
      </w:r>
      <w:r>
        <w:fldChar w:fldCharType="begin"/>
      </w:r>
      <w:r>
        <w:instrText xml:space="preserve"> ADDIN EN.CITE &lt;EndNote&gt;&lt;Cite&gt;&lt;Author&gt;Paasche&lt;/Author&gt;&lt;Year&gt;1994&lt;/Year&gt;&lt;RecNum&gt;642&lt;/RecNum&gt;&lt;DisplayText&gt;(Paasche and Brubak, 1994)&lt;/DisplayText&gt;&lt;record&gt;&lt;rec-number&gt;642&lt;/rec-number&gt;&lt;foreign-keys&gt;&lt;key app="EN" db-id="zxvfzfrzhzaptaeexw8vepr7pfz9z2pdwf05" timestamp="1417627576"&gt;642&lt;/key&gt;&lt;/foreign-keys&gt;&lt;ref-type name="Journal Article"&gt;17&lt;/ref-type&gt;&lt;contributors&gt;&lt;authors&gt;&lt;author&gt;Paasche, E.&lt;/author&gt;&lt;author&gt;S. Brubak&lt;/author&gt;&lt;/authors&gt;&lt;/contributors&gt;&lt;titles&gt;&lt;title&gt;&lt;style face="normal" font="default" size="100%"&gt;Enhanced calcification in the coccolithophorid &lt;/style&gt;&lt;style face="italic" font="default" size="100%"&gt;Emiliania huxleyi &lt;/style&gt;&lt;style face="normal" font="default" size="100%"&gt; (Haptophyceae) under phosphorus limitation&lt;/style&gt;&lt;/title&gt;&lt;secondary-title&gt;Phycologia&lt;/secondary-title&gt;&lt;/titles&gt;&lt;periodical&gt;&lt;full-title&gt;Phycologia&lt;/full-title&gt;&lt;/periodical&gt;&lt;pages&gt;324-330&lt;/pages&gt;&lt;volume&gt;33&lt;/volume&gt;&lt;dates&gt;&lt;year&gt;1994&lt;/year&gt;&lt;/dates&gt;&lt;urls&gt;&lt;/urls&gt;&lt;/record&gt;&lt;/Cite&gt;&lt;/EndNote&gt;</w:instrText>
      </w:r>
      <w:r>
        <w:fldChar w:fldCharType="separate"/>
      </w:r>
      <w:r>
        <w:rPr>
          <w:noProof/>
        </w:rPr>
        <w:t>(Paasche and Brubak, 1994)</w:t>
      </w:r>
      <w:r>
        <w:fldChar w:fldCharType="end"/>
      </w:r>
      <w:r>
        <w:t xml:space="preserve"> with modifications by Balch et al. </w:t>
      </w:r>
      <w:r>
        <w:fldChar w:fldCharType="begin"/>
      </w:r>
      <w:r>
        <w:instrText xml:space="preserve"> ADDIN EN.CITE &lt;EndNote&gt;&lt;Cite ExcludeAuth="1"&gt;&lt;Author&gt;Balch&lt;/Author&gt;&lt;Year&gt;2000&lt;/Year&gt;&lt;RecNum&gt;2223&lt;/RecNum&gt;&lt;DisplayText&gt;(2000)&lt;/DisplayText&gt;&lt;record&gt;&lt;rec-number&gt;2223&lt;/rec-number&gt;&lt;foreign-keys&gt;&lt;key app="EN" db-id="zxvfzfrzhzaptaeexw8vepr7pfz9z2pdwf05" timestamp="1417627585"&gt;2223&lt;/key&gt;&lt;/foreign-keys&gt;&lt;ref-type name="Journal Article"&gt;17&lt;/ref-type&gt;&lt;contributors&gt;&lt;authors&gt;&lt;author&gt;Balch, W. M.&lt;/author&gt;&lt;author&gt;D. Drapeau&lt;/author&gt;&lt;author&gt;J. Fritz&lt;/author&gt;&lt;/authors&gt;&lt;/contributors&gt;&lt;titles&gt;&lt;title&gt;Monsoonal forcing of calcification in the Arabian Sea&lt;/title&gt;&lt;secondary-title&gt;Deep-Sea Research II&lt;/secondary-title&gt;&lt;/titles&gt;&lt;periodical&gt;&lt;full-title&gt;Deep-Sea Research II&lt;/full-title&gt;&lt;abbr-1&gt;Deep-Sea Res. II&lt;/abbr-1&gt;&lt;/periodical&gt;&lt;pages&gt;1301-1337&lt;/pages&gt;&lt;volume&gt;47&lt;/volume&gt;&lt;dates&gt;&lt;year&gt;2000&lt;/year&gt;&lt;/dates&gt;&lt;urls&gt;&lt;/urls&gt;&lt;/record&gt;&lt;/Cite&gt;&lt;/EndNote&gt;</w:instrText>
      </w:r>
      <w:r>
        <w:fldChar w:fldCharType="separate"/>
      </w:r>
      <w:r>
        <w:rPr>
          <w:noProof/>
        </w:rPr>
        <w:t>(2000)</w:t>
      </w:r>
      <w:r>
        <w:fldChar w:fldCharType="end"/>
      </w:r>
      <w:r>
        <w:t xml:space="preserve"> (see also </w:t>
      </w:r>
      <w:proofErr w:type="spellStart"/>
      <w:r>
        <w:t>Fabry</w:t>
      </w:r>
      <w:proofErr w:type="spellEnd"/>
      <w:r>
        <w:t xml:space="preserve"> </w:t>
      </w:r>
      <w:r>
        <w:fldChar w:fldCharType="begin"/>
      </w:r>
      <w:r>
        <w:instrText xml:space="preserve"> ADDIN EN.CITE &lt;EndNote&gt;&lt;Cite ExcludeAuth="1"&gt;&lt;Author&gt;Fabry&lt;/Author&gt;&lt;Year&gt;2010&lt;/Year&gt;&lt;RecNum&gt;7356&lt;/RecNum&gt;&lt;DisplayText&gt;(2010)&lt;/DisplayText&gt;&lt;record&gt;&lt;rec-number&gt;7356&lt;/rec-number&gt;&lt;foreign-keys&gt;&lt;key app="EN" db-id="zxvfzfrzhzaptaeexw8vepr7pfz9z2pdwf05" timestamp="1417627612"&gt;7356&lt;/key&gt;&lt;/foreign-keys&gt;&lt;ref-type name="Book Section"&gt;5&lt;/ref-type&gt;&lt;contributors&gt;&lt;authors&gt;&lt;author&gt;Fabry, V. J.&lt;/author&gt;&lt;author&gt;Balch, W.M.&lt;/author&gt;&lt;/authors&gt;&lt;secondary-authors&gt;&lt;author&gt;Riebeseil, U.&lt;/author&gt;&lt;author&gt;Fabry, V. J.&lt;/author&gt;&lt;author&gt;Hansson, L.&lt;/author&gt;&lt;author&gt;Gattuso, J-P&lt;/author&gt;&lt;/secondary-authors&gt;&lt;/contributors&gt;&lt;titles&gt;&lt;title&gt;Direct measurements of calcification rates in planktonic organisms&lt;/title&gt;&lt;secondary-title&gt;Guide to Best Practices in Ocean Acidification Research and Data Reporting&lt;/secondary-title&gt;&lt;/titles&gt;&lt;pages&gt;185-196&lt;/pages&gt;&lt;dates&gt;&lt;year&gt;2010&lt;/year&gt;&lt;/dates&gt;&lt;pub-location&gt;Bremerhaven, Germany&lt;/pub-location&gt;&lt;publisher&gt;European Project on Ocean Acidification (EPOCA)&lt;/publisher&gt;&lt;urls&gt;&lt;/urls&gt;&lt;/record&gt;&lt;/Cite&gt;&lt;/EndNote&gt;</w:instrText>
      </w:r>
      <w:r>
        <w:fldChar w:fldCharType="separate"/>
      </w:r>
      <w:r>
        <w:rPr>
          <w:noProof/>
        </w:rPr>
        <w:t>(2010)</w:t>
      </w:r>
      <w:r>
        <w:fldChar w:fldCharType="end"/>
      </w:r>
      <w:r>
        <w:t xml:space="preserve">.   </w:t>
      </w:r>
      <w:r>
        <w:rPr>
          <w:vertAlign w:val="superscript"/>
        </w:rPr>
        <w:t>14</w:t>
      </w:r>
      <w:r>
        <w:t xml:space="preserve">C bicarbonate (30 </w:t>
      </w:r>
      <w:r>
        <w:rPr>
          <w:rFonts w:ascii="Symbol" w:hAnsi="Symbol"/>
        </w:rPr>
        <w:t></w:t>
      </w:r>
      <w:r>
        <w:t xml:space="preserve">Ci) was added for each water sample.   Incubations were performed in triplicate (with an additional 2% formalin sample (final concentration) used as a killed control) in simulated </w:t>
      </w:r>
      <w:r>
        <w:rPr>
          <w:i/>
        </w:rPr>
        <w:t>in situ</w:t>
      </w:r>
      <w:r>
        <w:t xml:space="preserve"> conditions on-deck, corrected for both light quantity (extinction using bags made of neutral-density shade cloth) and quality (spectral narrowing) using blue acetate bag inserts.  Bottle transfers between the incubators and radioisotope van were always done in darkened bags to avoid light shock to the phytoplankton.  Deck incubators consisted of blue plastic tubs open to sky light, chilled using surface seawater from the ship’s flowing sea water system.  Calibration of those light levels in the bag were previously made using a </w:t>
      </w:r>
      <w:proofErr w:type="spellStart"/>
      <w:r>
        <w:t>Biospherical</w:t>
      </w:r>
      <w:proofErr w:type="spellEnd"/>
      <w:r>
        <w:t xml:space="preserve"> OSR2100  scalar PAR sensor inserted into each bag relative to a scalar PAR sensor outside the bag.  All filtrations were performed using 0.4 </w:t>
      </w:r>
      <w:r>
        <w:rPr>
          <w:rFonts w:ascii="Symbol" w:hAnsi="Symbol"/>
        </w:rPr>
        <w:t></w:t>
      </w:r>
      <w:r>
        <w:t xml:space="preserve">m pore-size polycarbonate filters.  Filters and sample “boats” were placed in scintillation vials with 7mL of </w:t>
      </w:r>
      <w:proofErr w:type="spellStart"/>
      <w:r>
        <w:t>Ecolume</w:t>
      </w:r>
      <w:proofErr w:type="spellEnd"/>
      <w:r>
        <w:t xml:space="preserve"> scintillation cocktail.  Samples were counted using a high sensitivity Beckman </w:t>
      </w:r>
      <w:proofErr w:type="spellStart"/>
      <w:r>
        <w:t>Tricarb</w:t>
      </w:r>
      <w:proofErr w:type="spellEnd"/>
      <w:r>
        <w:t xml:space="preserve"> liquid scintillation counter with channel windows set for 14C counting.  Counts were performed for sufficient time to reach 1% precision or 30 minutes for samples with lower counts.  Blank </w:t>
      </w:r>
      <w:r>
        <w:rPr>
          <w:vertAlign w:val="superscript"/>
        </w:rPr>
        <w:t>14</w:t>
      </w:r>
      <w:r>
        <w:t>C counts were always run for scintillation cocktail as well as the phenethylamine CO</w:t>
      </w:r>
      <w:r>
        <w:rPr>
          <w:vertAlign w:val="subscript"/>
        </w:rPr>
        <w:t>2</w:t>
      </w:r>
      <w:r>
        <w:t xml:space="preserve"> absorbent.  Standard equations were used for calculating primary production and calcification from the </w:t>
      </w:r>
      <w:r>
        <w:rPr>
          <w:vertAlign w:val="superscript"/>
        </w:rPr>
        <w:t>14</w:t>
      </w:r>
      <w:r>
        <w:t xml:space="preserve">C counts with a 5% isotope discrimination factor assumed for the physiological fixation of </w:t>
      </w:r>
      <w:r>
        <w:rPr>
          <w:vertAlign w:val="superscript"/>
        </w:rPr>
        <w:t>14</w:t>
      </w:r>
      <w:r>
        <w:t xml:space="preserve">C-HCO3 as opposed to </w:t>
      </w:r>
      <w:r>
        <w:rPr>
          <w:vertAlign w:val="superscript"/>
        </w:rPr>
        <w:t>12</w:t>
      </w:r>
      <w:r>
        <w:t>C-HCO</w:t>
      </w:r>
      <w:r>
        <w:rPr>
          <w:vertAlign w:val="subscript"/>
        </w:rPr>
        <w:t>3</w:t>
      </w:r>
      <w:r>
        <w:t xml:space="preserve">.  </w:t>
      </w:r>
    </w:p>
    <w:p w:rsidR="00DE5137" w:rsidRDefault="00DE5137" w:rsidP="00DE5137"/>
    <w:p w:rsidR="00DE5137" w:rsidRDefault="00DE5137" w:rsidP="00DE5137">
      <w:pPr>
        <w:pStyle w:val="Heading1"/>
      </w:pPr>
      <w:r>
        <w:t>Carboy Experiments</w:t>
      </w:r>
      <w:r w:rsidR="00602302">
        <w:t xml:space="preserve"> </w:t>
      </w:r>
      <w:bookmarkStart w:id="2" w:name="_GoBack"/>
      <w:bookmarkEnd w:id="2"/>
    </w:p>
    <w:p w:rsidR="00DE5137" w:rsidRDefault="00DE5137" w:rsidP="00DE5137">
      <w:pPr>
        <w:ind w:firstLine="720"/>
      </w:pPr>
      <w:r>
        <w:t xml:space="preserve">Four carboy experiments were performed during the 38d cruise.  The purpose of the experiments was to assess the impact of different nutrient amendments on phytoplankton-related variables measured by the Balch lab: phytoplankton biomass, POC/PON, PIC, counts of plated </w:t>
      </w:r>
      <w:proofErr w:type="spellStart"/>
      <w:r>
        <w:lastRenderedPageBreak/>
        <w:t>coccolithophores</w:t>
      </w:r>
      <w:proofErr w:type="spellEnd"/>
      <w:r>
        <w:t xml:space="preserve"> and detached </w:t>
      </w:r>
      <w:proofErr w:type="spellStart"/>
      <w:r>
        <w:t>coccoliths</w:t>
      </w:r>
      <w:proofErr w:type="spellEnd"/>
      <w:r>
        <w:t xml:space="preserve">, nutrient concentrations, biogenic silica, </w:t>
      </w:r>
      <w:proofErr w:type="spellStart"/>
      <w:r>
        <w:t>flowcam</w:t>
      </w:r>
      <w:proofErr w:type="spellEnd"/>
      <w:r>
        <w:t xml:space="preserve"> counts of various classes of algae, particle size distributions.  As outlined earlier, the 18 </w:t>
      </w:r>
      <w:proofErr w:type="spellStart"/>
      <w:r>
        <w:t>cubitainors</w:t>
      </w:r>
      <w:proofErr w:type="spellEnd"/>
      <w:r>
        <w:t xml:space="preserve"> were divided as follows: three controls (no amendments)</w:t>
      </w:r>
      <w:proofErr w:type="gramStart"/>
      <w:r>
        <w:t>,  then</w:t>
      </w:r>
      <w:proofErr w:type="gramEnd"/>
      <w:r>
        <w:t xml:space="preserve"> triplicate amendments for nitrate, 10% 0.2um-filtered SAMW,  silicate, iron, </w:t>
      </w:r>
      <w:proofErr w:type="spellStart"/>
      <w:r>
        <w:t>iron+silicate</w:t>
      </w:r>
      <w:proofErr w:type="spellEnd"/>
      <w:r>
        <w:t xml:space="preserve">.  See section from the Morton lab for all the specifics for collecting trace-metal-clean surface seawater for these experiments.  All </w:t>
      </w:r>
      <w:proofErr w:type="spellStart"/>
      <w:r>
        <w:t>cubitainors</w:t>
      </w:r>
      <w:proofErr w:type="spellEnd"/>
      <w:r>
        <w:t xml:space="preserve"> were then placed in blue seawater incubators maintained at ambient seawater temperatures using </w:t>
      </w:r>
      <w:proofErr w:type="gramStart"/>
      <w:r>
        <w:t>a</w:t>
      </w:r>
      <w:proofErr w:type="gramEnd"/>
      <w:r>
        <w:t xml:space="preserve"> </w:t>
      </w:r>
      <w:proofErr w:type="spellStart"/>
      <w:r>
        <w:t>a</w:t>
      </w:r>
      <w:proofErr w:type="spellEnd"/>
      <w:r>
        <w:t xml:space="preserve"> chiller/heater system kept in the ship’s hanger.  </w:t>
      </w:r>
      <w:proofErr w:type="spellStart"/>
      <w:r>
        <w:t>Cubitainors</w:t>
      </w:r>
      <w:proofErr w:type="spellEnd"/>
      <w:r>
        <w:t xml:space="preserve"> were kept in neutral-density screen (which reduced the total irradiance to about 50% of incident).  </w:t>
      </w:r>
    </w:p>
    <w:p w:rsidR="00DE5137" w:rsidRDefault="00DE5137" w:rsidP="00DE5137"/>
    <w:p w:rsidR="00FE71E1" w:rsidRDefault="00FE71E1" w:rsidP="00FE71E1">
      <w:pPr>
        <w:pStyle w:val="Heading1"/>
      </w:pPr>
    </w:p>
    <w:p w:rsidR="00FE71E1" w:rsidRDefault="00FE71E1" w:rsidP="00FE71E1">
      <w:pPr>
        <w:pStyle w:val="Heading1"/>
      </w:pPr>
      <w:r>
        <w:t>Samples processed</w:t>
      </w:r>
      <w:r w:rsidR="00DE5137">
        <w:tab/>
      </w:r>
    </w:p>
    <w:p w:rsidR="00DE5137" w:rsidRDefault="00DE5137" w:rsidP="00FE71E1">
      <w:pPr>
        <w:pStyle w:val="Heading1"/>
        <w:rPr>
          <w:i w:val="0"/>
        </w:rPr>
      </w:pPr>
      <w:r w:rsidRPr="00602302">
        <w:rPr>
          <w:i w:val="0"/>
        </w:rPr>
        <w:t xml:space="preserve">The Balch group performed four carboy experiments over the SAMW’20 cruise, and sampled all CTD/full water casts.  Underway samples were also taken every two hours while towing the VPR for a total of 95 samples.  In total, 725 water samples were processed for all </w:t>
      </w:r>
      <w:r w:rsidR="00B21430" w:rsidRPr="00602302">
        <w:rPr>
          <w:i w:val="0"/>
          <w:noProof/>
        </w:rPr>
        <mc:AlternateContent>
          <mc:Choice Requires="wps">
            <w:drawing>
              <wp:anchor distT="0" distB="0" distL="114300" distR="114300" simplePos="0" relativeHeight="251659264" behindDoc="1" locked="0" layoutInCell="1" allowOverlap="1" wp14:anchorId="45190728" wp14:editId="6C345D60">
                <wp:simplePos x="0" y="0"/>
                <wp:positionH relativeFrom="column">
                  <wp:posOffset>121920</wp:posOffset>
                </wp:positionH>
                <wp:positionV relativeFrom="paragraph">
                  <wp:posOffset>611505</wp:posOffset>
                </wp:positionV>
                <wp:extent cx="5549900" cy="5932170"/>
                <wp:effectExtent l="7620" t="11430" r="5080" b="9525"/>
                <wp:wrapTight wrapText="bothSides">
                  <wp:wrapPolygon edited="0">
                    <wp:start x="-37" y="-37"/>
                    <wp:lineTo x="-37" y="21600"/>
                    <wp:lineTo x="21637" y="21600"/>
                    <wp:lineTo x="21637" y="-37"/>
                    <wp:lineTo x="-37" y="-3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5932170"/>
                        </a:xfrm>
                        <a:prstGeom prst="rect">
                          <a:avLst/>
                        </a:prstGeom>
                        <a:solidFill>
                          <a:srgbClr val="FFFFFF"/>
                        </a:solidFill>
                        <a:ln w="9525">
                          <a:solidFill>
                            <a:srgbClr val="000000"/>
                          </a:solidFill>
                          <a:miter lim="800000"/>
                          <a:headEnd/>
                          <a:tailEnd/>
                        </a:ln>
                      </wps:spPr>
                      <wps:txbx>
                        <w:txbxContent>
                          <w:p w:rsidR="00B21430" w:rsidRDefault="00B21430" w:rsidP="00B21430">
                            <w:r>
                              <w:rPr>
                                <w:noProof/>
                              </w:rPr>
                              <w:drawing>
                                <wp:inline distT="0" distB="0" distL="0" distR="0" wp14:anchorId="322E9839" wp14:editId="40929DAC">
                                  <wp:extent cx="5343525" cy="364934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3525" cy="3649345"/>
                                          </a:xfrm>
                                          <a:prstGeom prst="rect">
                                            <a:avLst/>
                                          </a:prstGeom>
                                          <a:noFill/>
                                          <a:ln>
                                            <a:noFill/>
                                          </a:ln>
                                        </pic:spPr>
                                      </pic:pic>
                                    </a:graphicData>
                                  </a:graphic>
                                </wp:inline>
                              </w:drawing>
                            </w:r>
                          </w:p>
                          <w:p w:rsidR="00B21430" w:rsidRDefault="00B21430" w:rsidP="00B21430">
                            <w:r>
                              <w:t xml:space="preserve">Fig. 1- TS diagrams for surface underway data from TN376.  Cruise track shown in lower left corner.  Top left- acid-labile backscattering is shown on the Z axis of the TS plot.  Water along the 25.5 </w:t>
                            </w:r>
                            <w:proofErr w:type="spellStart"/>
                            <w:r>
                              <w:t>isopycnal</w:t>
                            </w:r>
                            <w:proofErr w:type="spellEnd"/>
                            <w:r>
                              <w:t xml:space="preserve"> showed peak amounts of acid-labile backscattering in the cool, fresh part of the TS diagram.  </w:t>
                            </w:r>
                            <w:proofErr w:type="gramStart"/>
                            <w:r>
                              <w:t>Upper right panel- Total particulate backscattering at 532nm also showing peak values in the Sub-Antarctic Frontal water, decreasing as the ship moved in progressively more oligotrophic environments.</w:t>
                            </w:r>
                            <w:proofErr w:type="gramEnd"/>
                            <w:r>
                              <w:t xml:space="preserve"> Lower left panel: Fluorescence of chlorophyll a shown in TS space, showing similar pattern to total backscattering. Lower right panel: fraction of acid-labile backscattering normalized to total particle backscattering.  It can be seen that in the filament, that fraction approaches 40% of the total, which decreases to 25% in the cyclonic eddy (sigma theta of 25 to 24.5), which decreases to 5-10% on leg 5 to Mauritius.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pt;margin-top:48.15pt;width:437pt;height:46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">
                <v:textbox>
                  <w:txbxContent>
                    <w:p w:rsidR="00B21430" w:rsidRDefault="00B21430" w:rsidP="00B21430">
                      <w:r>
                        <w:rPr>
                          <w:noProof/>
                        </w:rPr>
                        <w:drawing>
                          <wp:inline distT="0" distB="0" distL="0" distR="0" wp14:anchorId="322E9839" wp14:editId="40929DAC">
                            <wp:extent cx="5343525" cy="364934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3525" cy="3649345"/>
                                    </a:xfrm>
                                    <a:prstGeom prst="rect">
                                      <a:avLst/>
                                    </a:prstGeom>
                                    <a:noFill/>
                                    <a:ln>
                                      <a:noFill/>
                                    </a:ln>
                                  </pic:spPr>
                                </pic:pic>
                              </a:graphicData>
                            </a:graphic>
                          </wp:inline>
                        </w:drawing>
                      </w:r>
                    </w:p>
                    <w:p w:rsidR="00B21430" w:rsidRDefault="00B21430" w:rsidP="00B21430">
                      <w:r>
                        <w:t xml:space="preserve">Fig. 1- TS diagrams for surface underway data from TN376.  Cruise track shown in lower left corner.  Top left- acid-labile backscattering is shown on the Z axis of the TS plot.  Water along the 25.5 </w:t>
                      </w:r>
                      <w:proofErr w:type="spellStart"/>
                      <w:r>
                        <w:t>isopycnal</w:t>
                      </w:r>
                      <w:proofErr w:type="spellEnd"/>
                      <w:r>
                        <w:t xml:space="preserve"> showed peak amounts of acid-labile backscattering in the cool, fresh part of the TS diagram.  </w:t>
                      </w:r>
                      <w:proofErr w:type="gramStart"/>
                      <w:r>
                        <w:t>Upper right panel- Total particulate backscattering at 532nm also showing peak values in the Sub-Antarctic Frontal water, decreasing as the ship moved in progressively more oligotrophic environments.</w:t>
                      </w:r>
                      <w:proofErr w:type="gramEnd"/>
                      <w:r>
                        <w:t xml:space="preserve"> Lower left panel: Fluorescence of chlorophyll a shown in TS space, showing similar pattern to total backscattering. Lower right panel: fraction of acid-labile backscattering normalized to total particle backscattering.  It can be seen that in the filament, that fraction approaches 40% of the total, which decreases to 25% in the cyclonic eddy (sigma theta of 25 to 24.5), which decreases to 5-10% on leg 5 to Mauritius.</w:t>
                      </w:r>
                    </w:p>
                  </w:txbxContent>
                </v:textbox>
                <w10:wrap type="tight"/>
              </v:shape>
            </w:pict>
          </mc:Fallback>
        </mc:AlternateContent>
      </w:r>
      <w:r w:rsidRPr="00602302">
        <w:rPr>
          <w:i w:val="0"/>
        </w:rPr>
        <w:t xml:space="preserve">variables listed </w:t>
      </w:r>
      <w:r w:rsidRPr="00602302">
        <w:rPr>
          <w:i w:val="0"/>
        </w:rPr>
        <w:lastRenderedPageBreak/>
        <w:t>above: 72 full sets of measurements were performed for shipboard experiments on nutrient/trace metal amendments, 95 underway samples.</w:t>
      </w:r>
    </w:p>
    <w:p w:rsidR="00602302" w:rsidRPr="00602302" w:rsidRDefault="00602302" w:rsidP="00602302"/>
    <w:p w:rsidR="00DE5137" w:rsidRDefault="00DE5137" w:rsidP="00DE5137">
      <w:pPr>
        <w:pStyle w:val="Heading1"/>
      </w:pPr>
      <w:r>
        <w:t>Data archival</w:t>
      </w:r>
    </w:p>
    <w:p w:rsidR="00DE5137" w:rsidRDefault="00DE5137" w:rsidP="00DE5137">
      <w:r>
        <w:t xml:space="preserve">The data collected from this voyage will be ultimately archived with the Biological and Chemical Oceanographic Data Management Office (BCO-DMO) at Woods Hole Oceanographic Inst. (sponsored by NSF).  </w:t>
      </w:r>
    </w:p>
    <w:p w:rsidR="00DE5137" w:rsidRDefault="00DE5137" w:rsidP="00DE5137"/>
    <w:p w:rsidR="00DE5137" w:rsidRPr="000A6C60" w:rsidRDefault="00DE5137" w:rsidP="00DE5137">
      <w:pPr>
        <w:rPr>
          <w:i/>
        </w:rPr>
      </w:pPr>
      <w:r w:rsidRPr="000A6C60">
        <w:rPr>
          <w:i/>
        </w:rPr>
        <w:t>Preliminary Results</w:t>
      </w:r>
    </w:p>
    <w:p w:rsidR="00DE5137" w:rsidRDefault="00815C03" w:rsidP="00DE5137">
      <w:r>
        <w:rPr>
          <w:noProof/>
        </w:rPr>
        <mc:AlternateContent>
          <mc:Choice Requires="wps">
            <w:drawing>
              <wp:anchor distT="0" distB="0" distL="114300" distR="114300" simplePos="0" relativeHeight="251661312" behindDoc="1" locked="0" layoutInCell="1" allowOverlap="1" wp14:editId="36B11C9B">
                <wp:simplePos x="0" y="0"/>
                <wp:positionH relativeFrom="column">
                  <wp:posOffset>-326390</wp:posOffset>
                </wp:positionH>
                <wp:positionV relativeFrom="paragraph">
                  <wp:posOffset>500380</wp:posOffset>
                </wp:positionV>
                <wp:extent cx="6758305" cy="3283585"/>
                <wp:effectExtent l="0" t="0" r="23495" b="12065"/>
                <wp:wrapTight wrapText="bothSides">
                  <wp:wrapPolygon edited="0">
                    <wp:start x="0" y="0"/>
                    <wp:lineTo x="0" y="21554"/>
                    <wp:lineTo x="21614" y="21554"/>
                    <wp:lineTo x="2161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3283585"/>
                        </a:xfrm>
                        <a:prstGeom prst="rect">
                          <a:avLst/>
                        </a:prstGeom>
                        <a:solidFill>
                          <a:srgbClr val="FFFFFF"/>
                        </a:solidFill>
                        <a:ln w="9525">
                          <a:solidFill>
                            <a:srgbClr val="000000"/>
                          </a:solidFill>
                          <a:miter lim="800000"/>
                          <a:headEnd/>
                          <a:tailEnd/>
                        </a:ln>
                      </wps:spPr>
                      <wps:txbx>
                        <w:txbxContent>
                          <w:p w:rsidR="00815C03" w:rsidRDefault="00815C03">
                            <w:r>
                              <w:t>Table 1-</w:t>
                            </w:r>
                            <w:r w:rsidR="005B2C4C">
                              <w:t xml:space="preserve"> Summary of all 14C incubations for measuring integrated photosynthesis and calcification.  Columns are color coded to indicate relative values.  Chlorophyll-normalized values are also shown but they are not included in the color coding for in station 1 where several of the samples were lost during processing so the chlorophyll integrals will be conservative, leading to the extremely high chlorophyll-normalized values.</w:t>
                            </w:r>
                          </w:p>
                          <w:p w:rsidR="00815C03" w:rsidRDefault="00815C03"/>
                          <w:p w:rsidR="00815C03" w:rsidRDefault="005B2C4C">
                            <w:r>
                              <w:rPr>
                                <w:noProof/>
                              </w:rPr>
                              <w:drawing>
                                <wp:inline distT="0" distB="0" distL="0" distR="0">
                                  <wp:extent cx="6647401" cy="2258171"/>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5446" cy="2260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7pt;margin-top:39.4pt;width:532.15pt;height:25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">
                <v:textbox>
                  <w:txbxContent>
                    <w:p w:rsidR="00815C03" w:rsidRDefault="00815C03">
                      <w:r>
                        <w:t>Table 1-</w:t>
                      </w:r>
                      <w:r w:rsidR="005B2C4C">
                        <w:t xml:space="preserve"> Summary of all 14C incubations for measuring integrated photosynthesis and calcification.  Columns are color coded to indicate relative values.  Chlorophyll-normalized values are also shown but they are not included in the color coding for in station 1 where several of the samples were lost during processing so the chlorophyll integrals will be conservative, leading to the extremely high chlorophyll-normalized values.</w:t>
                      </w:r>
                    </w:p>
                    <w:p w:rsidR="00815C03" w:rsidRDefault="00815C03"/>
                    <w:p w:rsidR="00815C03" w:rsidRDefault="005B2C4C">
                      <w:r>
                        <w:rPr>
                          <w:noProof/>
                        </w:rPr>
                        <w:drawing>
                          <wp:inline distT="0" distB="0" distL="0" distR="0">
                            <wp:extent cx="6647401" cy="2258171"/>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55446" cy="2260904"/>
                                    </a:xfrm>
                                    <a:prstGeom prst="rect">
                                      <a:avLst/>
                                    </a:prstGeom>
                                    <a:noFill/>
                                    <a:ln>
                                      <a:noFill/>
                                    </a:ln>
                                  </pic:spPr>
                                </pic:pic>
                              </a:graphicData>
                            </a:graphic>
                          </wp:inline>
                        </w:drawing>
                      </w:r>
                    </w:p>
                  </w:txbxContent>
                </v:textbox>
                <w10:wrap type="tight"/>
              </v:shape>
            </w:pict>
          </mc:Fallback>
        </mc:AlternateContent>
      </w:r>
      <w:r w:rsidR="00DE5137">
        <w:t xml:space="preserve">Our surface underway system illustrated that the peak </w:t>
      </w:r>
      <w:proofErr w:type="spellStart"/>
      <w:r w:rsidR="00DE5137">
        <w:t>coccolithophore</w:t>
      </w:r>
      <w:proofErr w:type="spellEnd"/>
      <w:r w:rsidR="00DE5137">
        <w:t xml:space="preserve"> populations were found in cold, fresh water south of the Southern Subtropical Front and the Agulhas Front, representative of Sub-Antarctic Front water (Fig 1) between the 25 and 25.5 sigma-theta </w:t>
      </w:r>
      <w:proofErr w:type="spellStart"/>
      <w:r w:rsidR="00DE5137">
        <w:t>isopycnal</w:t>
      </w:r>
      <w:proofErr w:type="spellEnd"/>
      <w:r w:rsidR="00DE5137">
        <w:t xml:space="preserve">.  It also appears that as that water moves northward along this </w:t>
      </w:r>
      <w:proofErr w:type="spellStart"/>
      <w:r w:rsidR="00DE5137">
        <w:t>isopycnal</w:t>
      </w:r>
      <w:proofErr w:type="spellEnd"/>
      <w:r w:rsidR="00DE5137">
        <w:t xml:space="preserve"> (verified in satellite ocean color images and altimetry)</w:t>
      </w:r>
      <w:proofErr w:type="gramStart"/>
      <w:r w:rsidR="00DE5137">
        <w:t>,</w:t>
      </w:r>
      <w:proofErr w:type="gramEnd"/>
      <w:r w:rsidR="00DE5137">
        <w:t xml:space="preserve"> it is being conditioned such that by the northern end of the filament, the water is no longer amenable to </w:t>
      </w:r>
      <w:proofErr w:type="spellStart"/>
      <w:r w:rsidR="00DE5137">
        <w:t>coccolithophore</w:t>
      </w:r>
      <w:proofErr w:type="spellEnd"/>
      <w:r w:rsidR="00DE5137">
        <w:t xml:space="preserve"> growth.  It is also significant that within both the filament and cyclonic eddy, the suspended calcium carbonate accounted for up to 50% of the total backscattering of the particulate material.  It is no wonder that these features are visible from space.  This percentage is similar to the percentages observed previously in the Patagonian Shelf part of the Great Calcite Belt.  The phytoplankton fluorescence was also greatest in this cold, fresh water, consistent with the hypothesis that the total algal populations in the filament were actively growing whereas those in the eddy were waning.</w:t>
      </w:r>
      <w:r w:rsidR="005B2C4C">
        <w:tab/>
      </w:r>
    </w:p>
    <w:p w:rsidR="005B2C4C" w:rsidRDefault="005B2C4C" w:rsidP="00DE5137">
      <w:r>
        <w:tab/>
        <w:t xml:space="preserve">A summary of the primary production and calcification results is given in Table 1.  They show that the </w:t>
      </w:r>
      <w:r w:rsidR="00BD34D7">
        <w:t xml:space="preserve">highest calcification and photosynthesis rates were observed in the filament (and values increased from the first to the second sampling, consistent with the remote sensing results).  Eddy 3 calcification and photosynthesis values generally were lower than in the actively growing filament.  However, the integrated calcification and photosynthesis rates at </w:t>
      </w:r>
      <w:r w:rsidR="00BD34D7">
        <w:lastRenderedPageBreak/>
        <w:t xml:space="preserve">eddy center (Eddy 3) were impressive for the amount of chlorophyll present, especially during the second sampling.  We note that in the eddy 3 interior for the second sampling, 9% of the carbon was being fixed into calcite which was the highest percentage of the trip.  This leads one to consider whether the community in the dying eddy assemblage was still shifting towards </w:t>
      </w:r>
      <w:proofErr w:type="spellStart"/>
      <w:r w:rsidR="00BD34D7">
        <w:t>coccolithophores</w:t>
      </w:r>
      <w:proofErr w:type="spellEnd"/>
      <w:r w:rsidR="00BD34D7">
        <w:t xml:space="preserve"> over other phytoplankton.</w:t>
      </w:r>
    </w:p>
    <w:p w:rsidR="005B2C4C" w:rsidRDefault="005B2C4C" w:rsidP="00DE5137"/>
    <w:p w:rsidR="00DE5137" w:rsidRDefault="00DE5137" w:rsidP="00DE5137"/>
    <w:p w:rsidR="00DE5137" w:rsidRPr="00E04ED6" w:rsidRDefault="00DE5137" w:rsidP="00DE5137"/>
    <w:p w:rsidR="00DE5137" w:rsidRDefault="00DE5137" w:rsidP="00DE5137">
      <w:pPr>
        <w:pStyle w:val="Heading1"/>
      </w:pPr>
      <w:r>
        <w:t>References</w:t>
      </w:r>
    </w:p>
    <w:p w:rsidR="00B21430" w:rsidRDefault="00B21430"/>
    <w:p w:rsidR="00B21430" w:rsidRPr="00B21430" w:rsidRDefault="00B21430" w:rsidP="00DD39F3">
      <w:pPr>
        <w:pStyle w:val="EndNoteBibliography"/>
        <w:ind w:left="720" w:hanging="720"/>
      </w:pPr>
      <w:r>
        <w:fldChar w:fldCharType="begin"/>
      </w:r>
      <w:r>
        <w:instrText xml:space="preserve"> ADDIN EN.REFLIST </w:instrText>
      </w:r>
      <w:r>
        <w:fldChar w:fldCharType="separate"/>
      </w:r>
      <w:r w:rsidRPr="00B21430">
        <w:t>Balch, W.M., Drapeau, D., Fritz, J., 2000. Monsoonal forcing of calcification in the Arabian Sea. Deep-Sea Research II 47, 1301-1337.</w:t>
      </w:r>
    </w:p>
    <w:p w:rsidR="00B21430" w:rsidRPr="00B21430" w:rsidRDefault="00B21430" w:rsidP="00DD39F3">
      <w:pPr>
        <w:pStyle w:val="EndNoteBibliography"/>
        <w:ind w:left="720" w:hanging="720"/>
      </w:pPr>
      <w:r w:rsidRPr="00B21430">
        <w:t>Balch, W.M., Drapeau, D.T., Bowler, B.C., Booth, E.S., Windecker, L.A., Ashe, A., 2008. Space-time variability of carbon standing stocks and fixation rates in the Gulf of Maine, along the GNATS transect between Portland, ME and Yarmouth, NS. Journal of Plankton Research 30 (2), 119-139.</w:t>
      </w:r>
    </w:p>
    <w:p w:rsidR="00B21430" w:rsidRPr="00B21430" w:rsidRDefault="00B21430" w:rsidP="00DD39F3">
      <w:pPr>
        <w:pStyle w:val="EndNoteBibliography"/>
        <w:ind w:left="720" w:hanging="720"/>
      </w:pPr>
      <w:r w:rsidRPr="00B21430">
        <w:t>Balch, W.M., Kilpatrick, K., Holligan, P.M., Harbour, D., Fernandez, E., 1996. The 1991 coccolithophore bloom in the central north Atlantic.  II. Relating optics to coccolith concentration. Limnology and Oceanography 41, 1684-1696.</w:t>
      </w:r>
    </w:p>
    <w:p w:rsidR="00B21430" w:rsidRPr="00B21430" w:rsidRDefault="00B21430" w:rsidP="00DD39F3">
      <w:pPr>
        <w:pStyle w:val="EndNoteBibliography"/>
        <w:ind w:left="720" w:hanging="720"/>
      </w:pPr>
      <w:r w:rsidRPr="00B21430">
        <w:t>Fabry, V.J., Balch, W.M., 2010. Direct measurements of calcification rates in planktonic organisms. In: Riebeseil, U., Fabry, V.J., Hansson, L., Gattuso, J.-P. (Eds.), Guide to Best Practices in Ocean Acidification Research and Data Reporting. European Project on Ocean Acidification (EPOCA), Bremerhaven, Germany, pp. 185-196.</w:t>
      </w:r>
    </w:p>
    <w:p w:rsidR="00B21430" w:rsidRPr="00B21430" w:rsidRDefault="00B21430" w:rsidP="00DD39F3">
      <w:pPr>
        <w:pStyle w:val="EndNoteBibliography"/>
        <w:ind w:left="720" w:hanging="720"/>
      </w:pPr>
      <w:r w:rsidRPr="00B21430">
        <w:t>Haidar, A.T., Thierstein, H.R., 2001. Coccolithophore dynamics off Bermuda (N. Atlantic). Deep Sea Research 48 (8-9), 1925-1956.</w:t>
      </w:r>
    </w:p>
    <w:p w:rsidR="00B21430" w:rsidRPr="00B21430" w:rsidRDefault="00B21430" w:rsidP="00DD39F3">
      <w:pPr>
        <w:pStyle w:val="EndNoteBibliography"/>
        <w:ind w:left="720" w:hanging="720"/>
      </w:pPr>
      <w:r w:rsidRPr="00B21430">
        <w:t>Hewes, C.D., Holm-Hansen, O., 1983. A method for recovering nanoplankton from filters for identification with the microscope:  The filter-transfer-freeze (FTF) technique. Limnology and Oceanography 28, 389-394.</w:t>
      </w:r>
    </w:p>
    <w:p w:rsidR="00B21430" w:rsidRPr="00B21430" w:rsidRDefault="00B21430" w:rsidP="00DD39F3">
      <w:pPr>
        <w:pStyle w:val="EndNoteBibliography"/>
        <w:ind w:left="720" w:hanging="720"/>
      </w:pPr>
      <w:r w:rsidRPr="00B21430">
        <w:t>JGOFS, 1996. Protocols for the Joint Global Ocean Flux Study (JGOFS) core measurements. In: Knap, A. (Ed.), Report no. 19 of the Joint Global Ocean Flux Study. Scientific committee on oceanic research, international council of scientific unions. Intergovernmental Oceanographic Commission, Bergen, Norway, p. 170.</w:t>
      </w:r>
    </w:p>
    <w:p w:rsidR="00B21430" w:rsidRPr="00B21430" w:rsidRDefault="00B21430" w:rsidP="00DD39F3">
      <w:pPr>
        <w:pStyle w:val="EndNoteBibliography"/>
        <w:ind w:left="720" w:hanging="720"/>
      </w:pPr>
      <w:r w:rsidRPr="00B21430">
        <w:t>Mueller, J.L., Austin, R.W., Morel, A., Fargion, G.S., McClain, C.R., 2003a. Ocean optics protocols for satellite ocean color sensor validation, Revision 4, Volume I: Introduction, background, and conventions. Goddard Space Flight Center, Greenbelt, MD, p. 50.</w:t>
      </w:r>
    </w:p>
    <w:p w:rsidR="00B21430" w:rsidRPr="00B21430" w:rsidRDefault="00B21430" w:rsidP="00DD39F3">
      <w:pPr>
        <w:pStyle w:val="EndNoteBibliography"/>
        <w:ind w:left="720" w:hanging="720"/>
      </w:pPr>
      <w:r w:rsidRPr="00B21430">
        <w:t>Mueller, J.L., Morel, A., Frouin, R., Davis, C., Arnone, R., Carder, K., Lee, Z.P., Steward, R.G., Hooker, S.B., Mobley, C.D., McLean, S., Holben, B., Miller, M., Pietras, C., Knobelspiesse, K.D., Fargion, G.S., Porter, J., Voss, K., 2003b. Ocean optics protocols for satellite ocean color sensor validation, Revision 4, Volume III:  Radiometric measurements and data analysis protocols Goddard Space Flight Center, Greenbelt, MD, p. 78.</w:t>
      </w:r>
    </w:p>
    <w:p w:rsidR="00B21430" w:rsidRPr="00B21430" w:rsidRDefault="00B21430" w:rsidP="00DD39F3">
      <w:pPr>
        <w:pStyle w:val="EndNoteBibliography"/>
        <w:ind w:left="720" w:hanging="720"/>
      </w:pPr>
      <w:r w:rsidRPr="00B21430">
        <w:t>Mueller, J.L., Pietras, C., Hooker, S.B., Austin, R.W., Miller, M., Knobelspiesse, K.D., Frouin, R., Holben, B., Voss, K., 2003c. Ocean optics protocols for satellite ocean color sensor validation, Revision 4, Volume II: Instrument specifications, characterization,and calibration. Goddard Space Flight Center, Greenbelt, MD.</w:t>
      </w:r>
    </w:p>
    <w:p w:rsidR="00B21430" w:rsidRPr="00B21430" w:rsidRDefault="00B21430" w:rsidP="00DD39F3">
      <w:pPr>
        <w:pStyle w:val="EndNoteBibliography"/>
        <w:ind w:left="720" w:hanging="720"/>
      </w:pPr>
      <w:r w:rsidRPr="00B21430">
        <w:lastRenderedPageBreak/>
        <w:t xml:space="preserve">Paasche, E., Brubak, S., 1994. Enhanced calcification in the coccolithophorid </w:t>
      </w:r>
      <w:r w:rsidRPr="00B21430">
        <w:rPr>
          <w:i/>
        </w:rPr>
        <w:t xml:space="preserve">Emiliania huxleyi </w:t>
      </w:r>
      <w:r w:rsidRPr="00B21430">
        <w:t xml:space="preserve"> (Haptophyceae) under phosphorus limitation. Phycologia 33, 324-330.</w:t>
      </w:r>
    </w:p>
    <w:p w:rsidR="00B21430" w:rsidRPr="00B21430" w:rsidRDefault="00B21430" w:rsidP="00DD39F3">
      <w:pPr>
        <w:pStyle w:val="EndNoteBibliography"/>
        <w:ind w:left="720" w:hanging="720"/>
      </w:pPr>
      <w:r w:rsidRPr="00B21430">
        <w:t>Poulton, A.J., Holligan, P.M., Charalampopoulou, A., Adey, T.R., 2017. Coccolithophore ecology in the tropical and subtropical Atlantic Ocean: New perspectives from the Atlantic meridional transect (AMT) programme. Progress in Oceanography, doi: 10.1016/j.pocean.2017.1001.1003.</w:t>
      </w:r>
    </w:p>
    <w:p w:rsidR="00B21430" w:rsidRPr="00B21430" w:rsidRDefault="00B21430" w:rsidP="00DD39F3">
      <w:pPr>
        <w:pStyle w:val="EndNoteBibliography"/>
        <w:ind w:left="720" w:hanging="720"/>
      </w:pPr>
      <w:r w:rsidRPr="00B21430">
        <w:t>Sieracki, C.K., Sieracki, M.E., Yentsch, C.S., 1998. An imaging-in-flow system for automated analysis of marine microplankton. Marine Ecology Progress Series 168, 285-296.</w:t>
      </w:r>
    </w:p>
    <w:p w:rsidR="005E4253" w:rsidRDefault="00B21430" w:rsidP="00DD39F3">
      <w:pPr>
        <w:ind w:left="720" w:hanging="720"/>
      </w:pPr>
      <w:r>
        <w:fldChar w:fldCharType="end"/>
      </w:r>
    </w:p>
    <w:sectPr w:rsidR="005E42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Deep-Sea R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vfzfrzhzaptaeexw8vepr7pfz9z2pdwf05&quot;&gt;Balch-Converted&lt;record-ids&gt;&lt;item&gt;74&lt;/item&gt;&lt;item&gt;517&lt;/item&gt;&lt;item&gt;642&lt;/item&gt;&lt;item&gt;2223&lt;/item&gt;&lt;item&gt;2333&lt;/item&gt;&lt;item&gt;3224&lt;/item&gt;&lt;item&gt;3316&lt;/item&gt;&lt;item&gt;3317&lt;/item&gt;&lt;item&gt;3318&lt;/item&gt;&lt;item&gt;5669&lt;/item&gt;&lt;item&gt;7356&lt;/item&gt;&lt;item&gt;21143&lt;/item&gt;&lt;/record-ids&gt;&lt;/item&gt;&lt;/Libraries&gt;"/>
  </w:docVars>
  <w:rsids>
    <w:rsidRoot w:val="00DE5137"/>
    <w:rsid w:val="00422679"/>
    <w:rsid w:val="005B2C4C"/>
    <w:rsid w:val="005E4253"/>
    <w:rsid w:val="00602302"/>
    <w:rsid w:val="00815C03"/>
    <w:rsid w:val="00830A87"/>
    <w:rsid w:val="00B21430"/>
    <w:rsid w:val="00BD34D7"/>
    <w:rsid w:val="00DD39F3"/>
    <w:rsid w:val="00DE5137"/>
    <w:rsid w:val="00FE7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1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E5137"/>
    <w:pPr>
      <w:keepNext/>
      <w:outlineLvl w:val="0"/>
    </w:pPr>
    <w:rPr>
      <w:i/>
      <w:iCs/>
    </w:rPr>
  </w:style>
  <w:style w:type="paragraph" w:styleId="Heading2">
    <w:name w:val="heading 2"/>
    <w:basedOn w:val="Normal"/>
    <w:next w:val="Normal"/>
    <w:link w:val="Heading2Char"/>
    <w:qFormat/>
    <w:rsid w:val="00DE5137"/>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137"/>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rsid w:val="00DE5137"/>
    <w:rPr>
      <w:rFonts w:ascii="Times New Roman" w:eastAsia="Times New Roman" w:hAnsi="Times New Roman" w:cs="Times New Roman"/>
      <w:b/>
      <w:bCs/>
      <w:sz w:val="24"/>
      <w:szCs w:val="24"/>
    </w:rPr>
  </w:style>
  <w:style w:type="paragraph" w:styleId="BodyTextIndent">
    <w:name w:val="Body Text Indent"/>
    <w:basedOn w:val="Normal"/>
    <w:link w:val="BodyTextIndentChar"/>
    <w:rsid w:val="00DE5137"/>
    <w:pPr>
      <w:ind w:firstLine="720"/>
    </w:pPr>
  </w:style>
  <w:style w:type="character" w:customStyle="1" w:styleId="BodyTextIndentChar">
    <w:name w:val="Body Text Indent Char"/>
    <w:basedOn w:val="DefaultParagraphFont"/>
    <w:link w:val="BodyTextIndent"/>
    <w:rsid w:val="00DE513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E5137"/>
    <w:rPr>
      <w:rFonts w:ascii="Tahoma" w:hAnsi="Tahoma" w:cs="Tahoma"/>
      <w:sz w:val="16"/>
      <w:szCs w:val="16"/>
    </w:rPr>
  </w:style>
  <w:style w:type="character" w:customStyle="1" w:styleId="BalloonTextChar">
    <w:name w:val="Balloon Text Char"/>
    <w:basedOn w:val="DefaultParagraphFont"/>
    <w:link w:val="BalloonText"/>
    <w:uiPriority w:val="99"/>
    <w:semiHidden/>
    <w:rsid w:val="00DE5137"/>
    <w:rPr>
      <w:rFonts w:ascii="Tahoma" w:eastAsia="Times New Roman" w:hAnsi="Tahoma" w:cs="Tahoma"/>
      <w:sz w:val="16"/>
      <w:szCs w:val="16"/>
    </w:rPr>
  </w:style>
  <w:style w:type="paragraph" w:customStyle="1" w:styleId="EndNoteBibliographyTitle">
    <w:name w:val="EndNote Bibliography Title"/>
    <w:basedOn w:val="Normal"/>
    <w:link w:val="EndNoteBibliographyTitleChar"/>
    <w:rsid w:val="00B21430"/>
    <w:pPr>
      <w:jc w:val="center"/>
    </w:pPr>
    <w:rPr>
      <w:noProof/>
    </w:rPr>
  </w:style>
  <w:style w:type="character" w:customStyle="1" w:styleId="EndNoteBibliographyTitleChar">
    <w:name w:val="EndNote Bibliography Title Char"/>
    <w:basedOn w:val="DefaultParagraphFont"/>
    <w:link w:val="EndNoteBibliographyTitle"/>
    <w:rsid w:val="00B21430"/>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B21430"/>
    <w:rPr>
      <w:noProof/>
    </w:rPr>
  </w:style>
  <w:style w:type="character" w:customStyle="1" w:styleId="EndNoteBibliographyChar">
    <w:name w:val="EndNote Bibliography Char"/>
    <w:basedOn w:val="DefaultParagraphFont"/>
    <w:link w:val="EndNoteBibliography"/>
    <w:rsid w:val="00B21430"/>
    <w:rPr>
      <w:rFonts w:ascii="Times New Roman" w:eastAsia="Times New Roman" w:hAnsi="Times New Roman" w:cs="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1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E5137"/>
    <w:pPr>
      <w:keepNext/>
      <w:outlineLvl w:val="0"/>
    </w:pPr>
    <w:rPr>
      <w:i/>
      <w:iCs/>
    </w:rPr>
  </w:style>
  <w:style w:type="paragraph" w:styleId="Heading2">
    <w:name w:val="heading 2"/>
    <w:basedOn w:val="Normal"/>
    <w:next w:val="Normal"/>
    <w:link w:val="Heading2Char"/>
    <w:qFormat/>
    <w:rsid w:val="00DE5137"/>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137"/>
    <w:rPr>
      <w:rFonts w:ascii="Times New Roman" w:eastAsia="Times New Roman" w:hAnsi="Times New Roman" w:cs="Times New Roman"/>
      <w:i/>
      <w:iCs/>
      <w:sz w:val="24"/>
      <w:szCs w:val="24"/>
    </w:rPr>
  </w:style>
  <w:style w:type="character" w:customStyle="1" w:styleId="Heading2Char">
    <w:name w:val="Heading 2 Char"/>
    <w:basedOn w:val="DefaultParagraphFont"/>
    <w:link w:val="Heading2"/>
    <w:rsid w:val="00DE5137"/>
    <w:rPr>
      <w:rFonts w:ascii="Times New Roman" w:eastAsia="Times New Roman" w:hAnsi="Times New Roman" w:cs="Times New Roman"/>
      <w:b/>
      <w:bCs/>
      <w:sz w:val="24"/>
      <w:szCs w:val="24"/>
    </w:rPr>
  </w:style>
  <w:style w:type="paragraph" w:styleId="BodyTextIndent">
    <w:name w:val="Body Text Indent"/>
    <w:basedOn w:val="Normal"/>
    <w:link w:val="BodyTextIndentChar"/>
    <w:rsid w:val="00DE5137"/>
    <w:pPr>
      <w:ind w:firstLine="720"/>
    </w:pPr>
  </w:style>
  <w:style w:type="character" w:customStyle="1" w:styleId="BodyTextIndentChar">
    <w:name w:val="Body Text Indent Char"/>
    <w:basedOn w:val="DefaultParagraphFont"/>
    <w:link w:val="BodyTextIndent"/>
    <w:rsid w:val="00DE513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E5137"/>
    <w:rPr>
      <w:rFonts w:ascii="Tahoma" w:hAnsi="Tahoma" w:cs="Tahoma"/>
      <w:sz w:val="16"/>
      <w:szCs w:val="16"/>
    </w:rPr>
  </w:style>
  <w:style w:type="character" w:customStyle="1" w:styleId="BalloonTextChar">
    <w:name w:val="Balloon Text Char"/>
    <w:basedOn w:val="DefaultParagraphFont"/>
    <w:link w:val="BalloonText"/>
    <w:uiPriority w:val="99"/>
    <w:semiHidden/>
    <w:rsid w:val="00DE5137"/>
    <w:rPr>
      <w:rFonts w:ascii="Tahoma" w:eastAsia="Times New Roman" w:hAnsi="Tahoma" w:cs="Tahoma"/>
      <w:sz w:val="16"/>
      <w:szCs w:val="16"/>
    </w:rPr>
  </w:style>
  <w:style w:type="paragraph" w:customStyle="1" w:styleId="EndNoteBibliographyTitle">
    <w:name w:val="EndNote Bibliography Title"/>
    <w:basedOn w:val="Normal"/>
    <w:link w:val="EndNoteBibliographyTitleChar"/>
    <w:rsid w:val="00B21430"/>
    <w:pPr>
      <w:jc w:val="center"/>
    </w:pPr>
    <w:rPr>
      <w:noProof/>
    </w:rPr>
  </w:style>
  <w:style w:type="character" w:customStyle="1" w:styleId="EndNoteBibliographyTitleChar">
    <w:name w:val="EndNote Bibliography Title Char"/>
    <w:basedOn w:val="DefaultParagraphFont"/>
    <w:link w:val="EndNoteBibliographyTitle"/>
    <w:rsid w:val="00B21430"/>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B21430"/>
    <w:rPr>
      <w:noProof/>
    </w:rPr>
  </w:style>
  <w:style w:type="character" w:customStyle="1" w:styleId="EndNoteBibliographyChar">
    <w:name w:val="EndNote Bibliography Char"/>
    <w:basedOn w:val="DefaultParagraphFont"/>
    <w:link w:val="EndNoteBibliography"/>
    <w:rsid w:val="00B21430"/>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58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4573</Words>
  <Characters>26072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Balch</dc:creator>
  <cp:lastModifiedBy>William Balch</cp:lastModifiedBy>
  <cp:revision>5</cp:revision>
  <cp:lastPrinted>2020-03-03T02:55:00Z</cp:lastPrinted>
  <dcterms:created xsi:type="dcterms:W3CDTF">2020-03-03T02:34:00Z</dcterms:created>
  <dcterms:modified xsi:type="dcterms:W3CDTF">2020-03-03T11:55:00Z</dcterms:modified>
</cp:coreProperties>
</file>