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F42" w:rsidRDefault="00E32F42" w:rsidP="00E32F42">
      <w:pPr>
        <w:spacing w:after="0"/>
      </w:pPr>
      <w:r>
        <w:t xml:space="preserve">Andrew </w:t>
      </w:r>
      <w:proofErr w:type="spellStart"/>
      <w:r>
        <w:t>Hirzel</w:t>
      </w:r>
      <w:proofErr w:type="spellEnd"/>
    </w:p>
    <w:p w:rsidR="00E32F42" w:rsidRDefault="00E32F42" w:rsidP="00E32F42">
      <w:pPr>
        <w:spacing w:after="0"/>
      </w:pPr>
      <w:r>
        <w:t>12.823 Homework 1</w:t>
      </w:r>
    </w:p>
    <w:p w:rsidR="00E32F42" w:rsidRDefault="00E32F42" w:rsidP="00E32F42">
      <w:pPr>
        <w:spacing w:after="0"/>
      </w:pPr>
    </w:p>
    <w:p w:rsidR="00E32F42" w:rsidRDefault="00E32F42" w:rsidP="00E32F42">
      <w:pPr>
        <w:spacing w:after="0"/>
      </w:pPr>
      <w:r>
        <w:t>1)  Replicate Figure 21 from Riley, 1946:</w:t>
      </w:r>
    </w:p>
    <w:p w:rsidR="00E32F42" w:rsidRDefault="00E32F42" w:rsidP="00E32F42">
      <w:pPr>
        <w:spacing w:after="0"/>
      </w:pPr>
      <w:r>
        <w:rPr>
          <w:noProof/>
        </w:rPr>
        <w:drawing>
          <wp:inline distT="0" distB="0" distL="0" distR="0">
            <wp:extent cx="2992735" cy="2346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028" cy="2374638"/>
                    </a:xfrm>
                    <a:prstGeom prst="rect">
                      <a:avLst/>
                    </a:prstGeom>
                    <a:noFill/>
                    <a:ln>
                      <a:noFill/>
                    </a:ln>
                  </pic:spPr>
                </pic:pic>
              </a:graphicData>
            </a:graphic>
          </wp:inline>
        </w:drawing>
      </w:r>
      <w:r w:rsidRPr="00E32F42">
        <w:rPr>
          <w:noProof/>
        </w:rPr>
        <w:drawing>
          <wp:inline distT="0" distB="0" distL="0" distR="0">
            <wp:extent cx="2946282" cy="2430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4398" t="1760" r="6339"/>
                    <a:stretch/>
                  </pic:blipFill>
                  <pic:spPr bwMode="auto">
                    <a:xfrm>
                      <a:off x="0" y="0"/>
                      <a:ext cx="2988374" cy="2465508"/>
                    </a:xfrm>
                    <a:prstGeom prst="rect">
                      <a:avLst/>
                    </a:prstGeom>
                    <a:noFill/>
                    <a:ln>
                      <a:noFill/>
                    </a:ln>
                    <a:extLst>
                      <a:ext uri="{53640926-AAD7-44D8-BBD7-CCE9431645EC}">
                        <a14:shadowObscured xmlns:a14="http://schemas.microsoft.com/office/drawing/2010/main"/>
                      </a:ext>
                    </a:extLst>
                  </pic:spPr>
                </pic:pic>
              </a:graphicData>
            </a:graphic>
          </wp:inline>
        </w:drawing>
      </w:r>
    </w:p>
    <w:p w:rsidR="00E32F42" w:rsidRDefault="00E32F42" w:rsidP="00E32F42">
      <w:pPr>
        <w:spacing w:after="0"/>
      </w:pPr>
    </w:p>
    <w:p w:rsidR="00E32F42" w:rsidRDefault="00E32F42" w:rsidP="00E32F42">
      <w:pPr>
        <w:spacing w:after="0"/>
      </w:pPr>
      <w:r>
        <w:t xml:space="preserve">The curves are slightly different as a result of the use of a </w:t>
      </w:r>
      <w:proofErr w:type="gramStart"/>
      <w:r>
        <w:t>15 day</w:t>
      </w:r>
      <w:proofErr w:type="gramEnd"/>
      <w:r>
        <w:t xml:space="preserve"> time step. </w:t>
      </w:r>
    </w:p>
    <w:p w:rsidR="00E32F42" w:rsidRDefault="00E32F42" w:rsidP="00E32F42">
      <w:pPr>
        <w:spacing w:after="0"/>
      </w:pPr>
    </w:p>
    <w:p w:rsidR="00E32F42" w:rsidRDefault="00E32F42" w:rsidP="0048162C">
      <w:pPr>
        <w:autoSpaceDE w:val="0"/>
        <w:autoSpaceDN w:val="0"/>
        <w:adjustRightInd w:val="0"/>
        <w:spacing w:after="0" w:line="240" w:lineRule="auto"/>
        <w:rPr>
          <w:rFonts w:ascii="CMMI10" w:hAnsi="CMMI10" w:cs="CMMI10"/>
          <w:sz w:val="24"/>
          <w:szCs w:val="24"/>
        </w:rPr>
      </w:pPr>
      <w:r>
        <w:t xml:space="preserve">Sensitivity analysis for </w:t>
      </w:r>
      <w:r w:rsidR="0048162C">
        <w:rPr>
          <w:rFonts w:ascii="CMMI10" w:hAnsi="CMMI10" w:cs="CMMI10"/>
          <w:sz w:val="24"/>
          <w:szCs w:val="24"/>
        </w:rPr>
        <w:t>p</w:t>
      </w:r>
      <w:r w:rsidR="0048162C">
        <w:rPr>
          <w:rFonts w:ascii="CMR10" w:hAnsi="CMR10" w:cs="CMR10"/>
          <w:sz w:val="24"/>
          <w:szCs w:val="24"/>
        </w:rPr>
        <w:t xml:space="preserve">, </w:t>
      </w:r>
      <w:r w:rsidR="0048162C">
        <w:rPr>
          <w:rFonts w:ascii="CMMI10" w:hAnsi="CMMI10" w:cs="CMMI10"/>
          <w:sz w:val="24"/>
          <w:szCs w:val="24"/>
        </w:rPr>
        <w:t>R</w:t>
      </w:r>
      <w:r w:rsidR="0048162C">
        <w:rPr>
          <w:rFonts w:ascii="CMR7" w:hAnsi="CMR7" w:cs="CMR7"/>
          <w:sz w:val="17"/>
          <w:szCs w:val="17"/>
        </w:rPr>
        <w:t>0</w:t>
      </w:r>
      <w:r w:rsidR="0048162C">
        <w:rPr>
          <w:rFonts w:ascii="CMR10" w:hAnsi="CMR10" w:cs="CMR10"/>
          <w:sz w:val="24"/>
          <w:szCs w:val="24"/>
        </w:rPr>
        <w:t xml:space="preserve">, </w:t>
      </w:r>
      <w:r w:rsidR="0048162C">
        <w:rPr>
          <w:rFonts w:ascii="CMMI10" w:hAnsi="CMMI10" w:cs="CMMI10"/>
          <w:sz w:val="24"/>
          <w:szCs w:val="24"/>
        </w:rPr>
        <w:t>r</w:t>
      </w:r>
      <w:r w:rsidR="0048162C">
        <w:rPr>
          <w:rFonts w:ascii="CMR10" w:hAnsi="CMR10" w:cs="CMR10"/>
          <w:sz w:val="24"/>
          <w:szCs w:val="24"/>
        </w:rPr>
        <w:t xml:space="preserve">, </w:t>
      </w:r>
      <w:r w:rsidR="0048162C">
        <w:rPr>
          <w:rFonts w:ascii="CMMI10" w:hAnsi="CMMI10" w:cs="CMMI10"/>
          <w:sz w:val="24"/>
          <w:szCs w:val="24"/>
        </w:rPr>
        <w:t>g</w:t>
      </w:r>
      <w:r w:rsidR="0048162C">
        <w:rPr>
          <w:rFonts w:ascii="CMR10" w:hAnsi="CMR10" w:cs="CMR10"/>
          <w:sz w:val="24"/>
          <w:szCs w:val="24"/>
        </w:rPr>
        <w:t>, and</w:t>
      </w:r>
      <w:r w:rsidR="0048162C">
        <w:rPr>
          <w:rFonts w:ascii="CMR10" w:hAnsi="CMR10" w:cs="CMR10"/>
          <w:sz w:val="24"/>
          <w:szCs w:val="24"/>
        </w:rPr>
        <w:t xml:space="preserve"> </w:t>
      </w:r>
      <w:r w:rsidR="0048162C">
        <w:rPr>
          <w:rFonts w:ascii="CMR10" w:hAnsi="CMR10" w:cs="CMR10"/>
          <w:sz w:val="24"/>
          <w:szCs w:val="24"/>
        </w:rPr>
        <w:t xml:space="preserve">1 </w:t>
      </w:r>
      <w:r w:rsidR="0048162C">
        <w:rPr>
          <w:rFonts w:ascii="CMSY10" w:hAnsi="CMSY10" w:cs="CMSY10"/>
          <w:sz w:val="24"/>
          <w:szCs w:val="24"/>
        </w:rPr>
        <w:t>–</w:t>
      </w:r>
      <w:r w:rsidR="0048162C">
        <w:rPr>
          <w:rFonts w:ascii="CMSY10" w:hAnsi="CMSY10" w:cs="CMSY10"/>
          <w:sz w:val="24"/>
          <w:szCs w:val="24"/>
        </w:rPr>
        <w:t xml:space="preserve"> </w:t>
      </w:r>
      <w:r w:rsidR="0048162C">
        <w:rPr>
          <w:rFonts w:ascii="CMMI10" w:hAnsi="CMMI10" w:cs="CMMI10"/>
          <w:sz w:val="24"/>
          <w:szCs w:val="24"/>
        </w:rPr>
        <w:t>N</w:t>
      </w:r>
      <w:r w:rsidR="0048162C">
        <w:rPr>
          <w:rFonts w:ascii="CMMI10" w:hAnsi="CMMI10" w:cs="CMMI10"/>
          <w:sz w:val="24"/>
          <w:szCs w:val="24"/>
        </w:rPr>
        <w:t>:</w:t>
      </w:r>
    </w:p>
    <w:p w:rsidR="0048162C" w:rsidRDefault="00096EA5" w:rsidP="0048162C">
      <w:pPr>
        <w:autoSpaceDE w:val="0"/>
        <w:autoSpaceDN w:val="0"/>
        <w:adjustRightInd w:val="0"/>
        <w:spacing w:after="0" w:line="240" w:lineRule="auto"/>
        <w:rPr>
          <w:rFonts w:ascii="CMR10" w:hAnsi="CMR10" w:cs="CMR10"/>
          <w:sz w:val="24"/>
          <w:szCs w:val="24"/>
        </w:rPr>
      </w:pPr>
      <w:r>
        <w:rPr>
          <w:rFonts w:ascii="CMR10" w:hAnsi="CMR10" w:cs="CMR10"/>
          <w:noProof/>
          <w:sz w:val="24"/>
          <w:szCs w:val="24"/>
        </w:rPr>
        <w:drawing>
          <wp:inline distT="0" distB="0" distL="0" distR="0">
            <wp:extent cx="5935980" cy="2849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2849880"/>
                    </a:xfrm>
                    <a:prstGeom prst="rect">
                      <a:avLst/>
                    </a:prstGeom>
                    <a:noFill/>
                    <a:ln>
                      <a:noFill/>
                    </a:ln>
                  </pic:spPr>
                </pic:pic>
              </a:graphicData>
            </a:graphic>
          </wp:inline>
        </w:drawing>
      </w:r>
    </w:p>
    <w:p w:rsidR="0048162C" w:rsidRPr="006B5CE3" w:rsidRDefault="0048162C" w:rsidP="0048162C">
      <w:pPr>
        <w:autoSpaceDE w:val="0"/>
        <w:autoSpaceDN w:val="0"/>
        <w:adjustRightInd w:val="0"/>
        <w:spacing w:after="0" w:line="240" w:lineRule="auto"/>
        <w:rPr>
          <w:rFonts w:ascii="CMR10" w:hAnsi="CMR10" w:cs="CMR10"/>
          <w:sz w:val="24"/>
          <w:szCs w:val="24"/>
        </w:rPr>
      </w:pPr>
      <w:r>
        <w:rPr>
          <w:rFonts w:ascii="CMR10" w:hAnsi="CMR10" w:cs="CMR10"/>
          <w:sz w:val="24"/>
          <w:szCs w:val="24"/>
        </w:rPr>
        <w:tab/>
        <w:t>The mean photosynthesis equation (P</w:t>
      </w:r>
      <w:r>
        <w:rPr>
          <w:rFonts w:ascii="CMR10" w:hAnsi="CMR10" w:cs="CMR10"/>
          <w:sz w:val="24"/>
          <w:szCs w:val="24"/>
          <w:vertAlign w:val="subscript"/>
        </w:rPr>
        <w:t>h</w:t>
      </w:r>
      <w:r>
        <w:rPr>
          <w:rFonts w:ascii="CMR10" w:hAnsi="CMR10" w:cs="CMR10"/>
          <w:sz w:val="24"/>
          <w:szCs w:val="24"/>
        </w:rPr>
        <w:t xml:space="preserve">) was the most sensitive to change, with a 20% increase in p and 1-N resulting in an increase of phytoplankton of multiple orders of magnitude. </w:t>
      </w:r>
      <w:r w:rsidR="009172BC">
        <w:rPr>
          <w:rFonts w:ascii="CMR10" w:hAnsi="CMR10" w:cs="CMR10"/>
          <w:sz w:val="24"/>
          <w:szCs w:val="24"/>
        </w:rPr>
        <w:t xml:space="preserve">Fall blooms slightly diminished at the end of the bloom, before returning to peak bloom concentrations. </w:t>
      </w:r>
      <w:r>
        <w:rPr>
          <w:rFonts w:ascii="CMR10" w:hAnsi="CMR10" w:cs="CMR10"/>
          <w:sz w:val="24"/>
          <w:szCs w:val="24"/>
        </w:rPr>
        <w:t xml:space="preserve">A 20% decrease in the same variables resulted in </w:t>
      </w:r>
      <w:r w:rsidR="00441B64">
        <w:rPr>
          <w:rFonts w:ascii="CMR10" w:hAnsi="CMR10" w:cs="CMR10"/>
          <w:sz w:val="24"/>
          <w:szCs w:val="24"/>
        </w:rPr>
        <w:t>phytoplankton abundance</w:t>
      </w:r>
      <w:r>
        <w:rPr>
          <w:rFonts w:ascii="CMR10" w:hAnsi="CMR10" w:cs="CMR10"/>
          <w:sz w:val="24"/>
          <w:szCs w:val="24"/>
        </w:rPr>
        <w:t xml:space="preserve"> reaching zero. </w:t>
      </w:r>
      <w:r w:rsidR="009271C8">
        <w:rPr>
          <w:rFonts w:ascii="CMR10" w:hAnsi="CMR10" w:cs="CMR10"/>
          <w:sz w:val="24"/>
          <w:szCs w:val="24"/>
        </w:rPr>
        <w:t>However, 1-N has a limit at 1 because N= (0.55 – mg-atom Phosphate m-3)/0.55 for phosphate concentrations</w:t>
      </w:r>
      <w:r w:rsidR="009271C8">
        <w:rPr>
          <w:rFonts w:ascii="Calibri" w:hAnsi="Calibri" w:cs="Calibri"/>
          <w:sz w:val="24"/>
          <w:szCs w:val="24"/>
        </w:rPr>
        <w:t>≤</w:t>
      </w:r>
      <w:r w:rsidR="009271C8">
        <w:rPr>
          <w:rFonts w:ascii="CMR10" w:hAnsi="CMR10" w:cs="CMR10"/>
          <w:sz w:val="24"/>
          <w:szCs w:val="24"/>
        </w:rPr>
        <w:t xml:space="preserve">0.55. This term is designed to only inhibit phytoplankton growth when the concentration is below 0.55, so 1-N should never be higher than 1 (black line above). </w:t>
      </w:r>
      <w:r w:rsidR="009271C8">
        <w:rPr>
          <w:rFonts w:ascii="CMR10" w:hAnsi="CMR10" w:cs="CMR10"/>
          <w:sz w:val="24"/>
          <w:szCs w:val="24"/>
        </w:rPr>
        <w:lastRenderedPageBreak/>
        <w:t>When this occurs, phytoplankton growth increases, but levels off around 100 g C m-2.</w:t>
      </w:r>
      <w:r w:rsidR="006B5CE3">
        <w:rPr>
          <w:rFonts w:ascii="CMR10" w:hAnsi="CMR10" w:cs="CMR10"/>
          <w:sz w:val="24"/>
          <w:szCs w:val="24"/>
        </w:rPr>
        <w:t xml:space="preserve"> Any changes to P</w:t>
      </w:r>
      <w:r w:rsidR="006B5CE3">
        <w:rPr>
          <w:rFonts w:ascii="CMR10" w:hAnsi="CMR10" w:cs="CMR10"/>
          <w:sz w:val="24"/>
          <w:szCs w:val="24"/>
          <w:vertAlign w:val="subscript"/>
        </w:rPr>
        <w:t>h</w:t>
      </w:r>
      <w:r w:rsidR="006B5CE3">
        <w:rPr>
          <w:rFonts w:ascii="CMR10" w:hAnsi="CMR10" w:cs="CMR10"/>
          <w:sz w:val="24"/>
          <w:szCs w:val="24"/>
        </w:rPr>
        <w:t xml:space="preserve"> quickly left the 27% error measurement reported by Riley (1946).</w:t>
      </w:r>
    </w:p>
    <w:p w:rsidR="00441B64" w:rsidRDefault="00441B64" w:rsidP="0048162C">
      <w:pPr>
        <w:autoSpaceDE w:val="0"/>
        <w:autoSpaceDN w:val="0"/>
        <w:adjustRightInd w:val="0"/>
        <w:spacing w:after="0" w:line="240" w:lineRule="auto"/>
        <w:rPr>
          <w:rFonts w:ascii="CMR10" w:hAnsi="CMR10" w:cs="CMR10"/>
          <w:sz w:val="24"/>
          <w:szCs w:val="24"/>
        </w:rPr>
      </w:pPr>
      <w:r>
        <w:rPr>
          <w:rFonts w:ascii="CMR10" w:hAnsi="CMR10" w:cs="CMR10"/>
          <w:sz w:val="24"/>
          <w:szCs w:val="24"/>
        </w:rPr>
        <w:tab/>
        <w:t>The grazing equation</w:t>
      </w:r>
      <w:r w:rsidR="006B5CE3">
        <w:rPr>
          <w:rFonts w:ascii="CMR10" w:hAnsi="CMR10" w:cs="CMR10"/>
          <w:sz w:val="24"/>
          <w:szCs w:val="24"/>
        </w:rPr>
        <w:t xml:space="preserve"> (G)</w:t>
      </w:r>
      <w:r>
        <w:rPr>
          <w:rFonts w:ascii="CMR10" w:hAnsi="CMR10" w:cs="CMR10"/>
          <w:sz w:val="24"/>
          <w:szCs w:val="24"/>
        </w:rPr>
        <w:t xml:space="preserve"> was also highly sensitive to change, as grazing is one of the primary limits to the phytoplankton blooms (spring and fall). Increasing g by 20% resulted in phytoplankton abundance </w:t>
      </w:r>
      <w:r w:rsidR="008367CA">
        <w:rPr>
          <w:rFonts w:ascii="CMR10" w:hAnsi="CMR10" w:cs="CMR10"/>
          <w:sz w:val="24"/>
          <w:szCs w:val="24"/>
        </w:rPr>
        <w:t>approaching</w:t>
      </w:r>
      <w:r>
        <w:rPr>
          <w:rFonts w:ascii="CMR10" w:hAnsi="CMR10" w:cs="CMR10"/>
          <w:sz w:val="24"/>
          <w:szCs w:val="24"/>
        </w:rPr>
        <w:t xml:space="preserve"> zero following the spring bloom. Decreasing g </w:t>
      </w:r>
      <w:r w:rsidR="006B5CE3">
        <w:rPr>
          <w:rFonts w:ascii="CMR10" w:hAnsi="CMR10" w:cs="CMR10"/>
          <w:sz w:val="24"/>
          <w:szCs w:val="24"/>
        </w:rPr>
        <w:t xml:space="preserve">resulted in a higher spring and fall bloom. The fall bloom lasted a similar time as the original model before declining, unlike </w:t>
      </w:r>
      <w:r w:rsidR="009172BC">
        <w:rPr>
          <w:rFonts w:ascii="CMR10" w:hAnsi="CMR10" w:cs="CMR10"/>
          <w:sz w:val="24"/>
          <w:szCs w:val="24"/>
        </w:rPr>
        <w:t xml:space="preserve">increased </w:t>
      </w:r>
      <w:r w:rsidR="006B5CE3">
        <w:rPr>
          <w:rFonts w:ascii="CMR10" w:hAnsi="CMR10" w:cs="CMR10"/>
          <w:sz w:val="24"/>
          <w:szCs w:val="24"/>
        </w:rPr>
        <w:t>P</w:t>
      </w:r>
      <w:r w:rsidR="006B5CE3">
        <w:rPr>
          <w:rFonts w:ascii="CMR10" w:hAnsi="CMR10" w:cs="CMR10"/>
          <w:sz w:val="24"/>
          <w:szCs w:val="24"/>
          <w:vertAlign w:val="subscript"/>
        </w:rPr>
        <w:t>h</w:t>
      </w:r>
      <w:r w:rsidR="006B5CE3">
        <w:rPr>
          <w:rFonts w:ascii="CMR10" w:hAnsi="CMR10" w:cs="CMR10"/>
          <w:sz w:val="24"/>
          <w:szCs w:val="24"/>
        </w:rPr>
        <w:t xml:space="preserve"> </w:t>
      </w:r>
      <w:r w:rsidR="009172BC">
        <w:rPr>
          <w:rFonts w:ascii="CMR10" w:hAnsi="CMR10" w:cs="CMR10"/>
          <w:sz w:val="24"/>
          <w:szCs w:val="24"/>
        </w:rPr>
        <w:t xml:space="preserve">fall </w:t>
      </w:r>
      <w:r w:rsidR="006B5CE3">
        <w:rPr>
          <w:rFonts w:ascii="CMR10" w:hAnsi="CMR10" w:cs="CMR10"/>
          <w:sz w:val="24"/>
          <w:szCs w:val="24"/>
        </w:rPr>
        <w:t>blooms</w:t>
      </w:r>
      <w:r w:rsidR="009172BC">
        <w:rPr>
          <w:rFonts w:ascii="CMR10" w:hAnsi="CMR10" w:cs="CMR10"/>
          <w:sz w:val="24"/>
          <w:szCs w:val="24"/>
        </w:rPr>
        <w:t>, which returned to peak bloom phytoplankton abundance by the end of the year</w:t>
      </w:r>
      <w:r w:rsidR="006B5CE3">
        <w:rPr>
          <w:rFonts w:ascii="CMR10" w:hAnsi="CMR10" w:cs="CMR10"/>
          <w:sz w:val="24"/>
          <w:szCs w:val="24"/>
        </w:rPr>
        <w:t xml:space="preserve">. </w:t>
      </w:r>
      <w:r w:rsidR="009172BC">
        <w:rPr>
          <w:rFonts w:ascii="CMR10" w:hAnsi="CMR10" w:cs="CMR10"/>
          <w:sz w:val="24"/>
          <w:szCs w:val="24"/>
        </w:rPr>
        <w:t xml:space="preserve">Both changes in g diverged from the 27% error measurement from Riley (1946). </w:t>
      </w:r>
    </w:p>
    <w:p w:rsidR="00CC4A52" w:rsidRDefault="009172BC" w:rsidP="0048162C">
      <w:pPr>
        <w:autoSpaceDE w:val="0"/>
        <w:autoSpaceDN w:val="0"/>
        <w:adjustRightInd w:val="0"/>
        <w:spacing w:after="0" w:line="240" w:lineRule="auto"/>
        <w:rPr>
          <w:rFonts w:ascii="CMR10" w:hAnsi="CMR10" w:cs="CMR10"/>
          <w:sz w:val="24"/>
          <w:szCs w:val="24"/>
        </w:rPr>
      </w:pPr>
      <w:r>
        <w:rPr>
          <w:rFonts w:ascii="CMR10" w:hAnsi="CMR10" w:cs="CMR10"/>
          <w:sz w:val="24"/>
          <w:szCs w:val="24"/>
        </w:rPr>
        <w:tab/>
        <w:t>The temperature respiration rate equation (R</w:t>
      </w:r>
      <w:r>
        <w:rPr>
          <w:rFonts w:ascii="CMR10" w:hAnsi="CMR10" w:cs="CMR10"/>
          <w:sz w:val="24"/>
          <w:szCs w:val="24"/>
          <w:vertAlign w:val="subscript"/>
        </w:rPr>
        <w:t>T</w:t>
      </w:r>
      <w:r>
        <w:rPr>
          <w:rFonts w:ascii="CMR10" w:hAnsi="CMR10" w:cs="CMR10"/>
          <w:sz w:val="24"/>
          <w:szCs w:val="24"/>
        </w:rPr>
        <w:t>) had the lowest sensitivity. Increasing R</w:t>
      </w:r>
      <w:r>
        <w:rPr>
          <w:rFonts w:ascii="CMR10" w:hAnsi="CMR10" w:cs="CMR10"/>
          <w:sz w:val="24"/>
          <w:szCs w:val="24"/>
          <w:vertAlign w:val="subscript"/>
        </w:rPr>
        <w:t>0</w:t>
      </w:r>
      <w:r>
        <w:rPr>
          <w:rFonts w:ascii="CMR10" w:hAnsi="CMR10" w:cs="CMR10"/>
          <w:sz w:val="24"/>
          <w:szCs w:val="24"/>
        </w:rPr>
        <w:t xml:space="preserve"> and r resulted in decreased phytoplankton abundance. Decreasing </w:t>
      </w:r>
      <w:r>
        <w:rPr>
          <w:rFonts w:ascii="CMR10" w:hAnsi="CMR10" w:cs="CMR10"/>
          <w:sz w:val="24"/>
          <w:szCs w:val="24"/>
        </w:rPr>
        <w:t>R</w:t>
      </w:r>
      <w:r>
        <w:rPr>
          <w:rFonts w:ascii="CMR10" w:hAnsi="CMR10" w:cs="CMR10"/>
          <w:sz w:val="24"/>
          <w:szCs w:val="24"/>
          <w:vertAlign w:val="subscript"/>
        </w:rPr>
        <w:t>0</w:t>
      </w:r>
      <w:r>
        <w:rPr>
          <w:rFonts w:ascii="CMR10" w:hAnsi="CMR10" w:cs="CMR10"/>
          <w:sz w:val="24"/>
          <w:szCs w:val="24"/>
        </w:rPr>
        <w:t xml:space="preserve"> and r resulted in </w:t>
      </w:r>
      <w:r>
        <w:rPr>
          <w:rFonts w:ascii="CMR10" w:hAnsi="CMR10" w:cs="CMR10"/>
          <w:sz w:val="24"/>
          <w:szCs w:val="24"/>
        </w:rPr>
        <w:t>increased</w:t>
      </w:r>
      <w:r>
        <w:rPr>
          <w:rFonts w:ascii="CMR10" w:hAnsi="CMR10" w:cs="CMR10"/>
          <w:sz w:val="24"/>
          <w:szCs w:val="24"/>
        </w:rPr>
        <w:t xml:space="preserve"> phytoplankton abundance</w:t>
      </w:r>
      <w:r>
        <w:rPr>
          <w:rFonts w:ascii="CMR10" w:hAnsi="CMR10" w:cs="CMR10"/>
          <w:sz w:val="24"/>
          <w:szCs w:val="24"/>
        </w:rPr>
        <w:t>. The fall bloom was most affected by changes to R</w:t>
      </w:r>
      <w:r>
        <w:rPr>
          <w:rFonts w:ascii="CMR10" w:hAnsi="CMR10" w:cs="CMR10"/>
          <w:sz w:val="24"/>
          <w:szCs w:val="24"/>
          <w:vertAlign w:val="subscript"/>
        </w:rPr>
        <w:t xml:space="preserve">0 </w:t>
      </w:r>
      <w:r>
        <w:rPr>
          <w:rFonts w:ascii="CMR10" w:hAnsi="CMR10" w:cs="CMR10"/>
          <w:sz w:val="24"/>
          <w:szCs w:val="24"/>
        </w:rPr>
        <w:t>and r, due to the higher temperatures at the end of the summer. The 20% increase and decrease of R</w:t>
      </w:r>
      <w:r>
        <w:rPr>
          <w:rFonts w:ascii="CMR10" w:hAnsi="CMR10" w:cs="CMR10"/>
          <w:sz w:val="24"/>
          <w:szCs w:val="24"/>
          <w:vertAlign w:val="subscript"/>
        </w:rPr>
        <w:t>0</w:t>
      </w:r>
      <w:r>
        <w:rPr>
          <w:rFonts w:ascii="CMR10" w:hAnsi="CMR10" w:cs="CMR10"/>
          <w:sz w:val="24"/>
          <w:szCs w:val="24"/>
        </w:rPr>
        <w:t xml:space="preserve"> was outside the 27% error estimates but were </w:t>
      </w:r>
      <w:proofErr w:type="gramStart"/>
      <w:r>
        <w:rPr>
          <w:rFonts w:ascii="CMR10" w:hAnsi="CMR10" w:cs="CMR10"/>
          <w:sz w:val="24"/>
          <w:szCs w:val="24"/>
        </w:rPr>
        <w:t>fairly close</w:t>
      </w:r>
      <w:proofErr w:type="gramEnd"/>
      <w:r>
        <w:rPr>
          <w:rFonts w:ascii="CMR10" w:hAnsi="CMR10" w:cs="CMR10"/>
          <w:sz w:val="24"/>
          <w:szCs w:val="24"/>
        </w:rPr>
        <w:t xml:space="preserve"> to the given values for the spring bloom. Similar changes to r were within the error estimates for the spring bloom and outside </w:t>
      </w:r>
      <w:r w:rsidR="00CC4A52">
        <w:rPr>
          <w:rFonts w:ascii="CMR10" w:hAnsi="CMR10" w:cs="CMR10"/>
          <w:sz w:val="24"/>
          <w:szCs w:val="24"/>
        </w:rPr>
        <w:t>the error estimates for the fall bloom. Since R</w:t>
      </w:r>
      <w:r w:rsidR="00CC4A52">
        <w:rPr>
          <w:rFonts w:ascii="CMR10" w:hAnsi="CMR10" w:cs="CMR10"/>
          <w:sz w:val="24"/>
          <w:szCs w:val="24"/>
          <w:vertAlign w:val="subscript"/>
        </w:rPr>
        <w:t>T</w:t>
      </w:r>
      <w:r w:rsidR="00CC4A52">
        <w:rPr>
          <w:rFonts w:ascii="CMR10" w:hAnsi="CMR10" w:cs="CMR10"/>
          <w:sz w:val="24"/>
          <w:szCs w:val="24"/>
        </w:rPr>
        <w:t xml:space="preserve"> had little impact on the error, the 27% error given by Riley (1946) was likely due to inaccuracies in P</w:t>
      </w:r>
      <w:r w:rsidR="00CC4A52">
        <w:rPr>
          <w:rFonts w:ascii="CMR10" w:hAnsi="CMR10" w:cs="CMR10"/>
          <w:sz w:val="24"/>
          <w:szCs w:val="24"/>
          <w:vertAlign w:val="subscript"/>
        </w:rPr>
        <w:t xml:space="preserve">h </w:t>
      </w:r>
      <w:r w:rsidR="00CC4A52">
        <w:rPr>
          <w:rFonts w:ascii="CMR10" w:hAnsi="CMR10" w:cs="CMR10"/>
          <w:sz w:val="24"/>
          <w:szCs w:val="24"/>
        </w:rPr>
        <w:t>or G, not R</w:t>
      </w:r>
      <w:r w:rsidR="00CC4A52">
        <w:rPr>
          <w:rFonts w:ascii="CMR10" w:hAnsi="CMR10" w:cs="CMR10"/>
          <w:sz w:val="24"/>
          <w:szCs w:val="24"/>
          <w:vertAlign w:val="subscript"/>
        </w:rPr>
        <w:t>T</w:t>
      </w:r>
      <w:r w:rsidR="00CC4A52">
        <w:rPr>
          <w:rFonts w:ascii="CMR10" w:hAnsi="CMR10" w:cs="CMR10"/>
          <w:sz w:val="24"/>
          <w:szCs w:val="24"/>
        </w:rPr>
        <w:t>.</w:t>
      </w:r>
    </w:p>
    <w:p w:rsidR="00CC4A52" w:rsidRDefault="00CC4A52" w:rsidP="0048162C">
      <w:pPr>
        <w:autoSpaceDE w:val="0"/>
        <w:autoSpaceDN w:val="0"/>
        <w:adjustRightInd w:val="0"/>
        <w:spacing w:after="0" w:line="240" w:lineRule="auto"/>
        <w:rPr>
          <w:rFonts w:ascii="CMR10" w:hAnsi="CMR10" w:cs="CMR10"/>
          <w:sz w:val="24"/>
          <w:szCs w:val="24"/>
        </w:rPr>
      </w:pPr>
    </w:p>
    <w:p w:rsidR="00CC4A52" w:rsidRDefault="00CC4A52" w:rsidP="0048162C">
      <w:pPr>
        <w:autoSpaceDE w:val="0"/>
        <w:autoSpaceDN w:val="0"/>
        <w:adjustRightInd w:val="0"/>
        <w:spacing w:after="0" w:line="240" w:lineRule="auto"/>
        <w:rPr>
          <w:rFonts w:ascii="CMR10" w:hAnsi="CMR10" w:cs="CMR10"/>
          <w:sz w:val="24"/>
          <w:szCs w:val="24"/>
        </w:rPr>
      </w:pPr>
      <w:r>
        <w:rPr>
          <w:rFonts w:ascii="CMR10" w:hAnsi="CMR10" w:cs="CMR10"/>
          <w:sz w:val="24"/>
          <w:szCs w:val="24"/>
        </w:rPr>
        <w:t>2) Find the values of g where P is periodic:</w:t>
      </w:r>
    </w:p>
    <w:p w:rsidR="00CC4A52" w:rsidRDefault="00CC4A52" w:rsidP="00615D37">
      <w:pPr>
        <w:autoSpaceDE w:val="0"/>
        <w:autoSpaceDN w:val="0"/>
        <w:adjustRightInd w:val="0"/>
        <w:spacing w:after="0" w:line="240" w:lineRule="auto"/>
        <w:jc w:val="center"/>
        <w:rPr>
          <w:rFonts w:ascii="CMR10" w:hAnsi="CMR10" w:cs="CMR10"/>
          <w:sz w:val="24"/>
          <w:szCs w:val="24"/>
        </w:rPr>
      </w:pPr>
      <w:r w:rsidRPr="00CC4A52">
        <w:rPr>
          <w:rFonts w:ascii="CMR10" w:hAnsi="CMR10" w:cs="CMR10"/>
          <w:noProof/>
          <w:sz w:val="24"/>
          <w:szCs w:val="24"/>
        </w:rPr>
        <w:drawing>
          <wp:inline distT="0" distB="0" distL="0" distR="0">
            <wp:extent cx="3467100" cy="279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4374" t="2652" r="5152"/>
                    <a:stretch/>
                  </pic:blipFill>
                  <pic:spPr bwMode="auto">
                    <a:xfrm>
                      <a:off x="0" y="0"/>
                      <a:ext cx="3491763" cy="2816433"/>
                    </a:xfrm>
                    <a:prstGeom prst="rect">
                      <a:avLst/>
                    </a:prstGeom>
                    <a:noFill/>
                    <a:ln>
                      <a:noFill/>
                    </a:ln>
                    <a:extLst>
                      <a:ext uri="{53640926-AAD7-44D8-BBD7-CCE9431645EC}">
                        <a14:shadowObscured xmlns:a14="http://schemas.microsoft.com/office/drawing/2010/main"/>
                      </a:ext>
                    </a:extLst>
                  </pic:spPr>
                </pic:pic>
              </a:graphicData>
            </a:graphic>
          </wp:inline>
        </w:drawing>
      </w:r>
    </w:p>
    <w:p w:rsidR="00816E23" w:rsidRDefault="00615D37" w:rsidP="00816E23">
      <w:pPr>
        <w:autoSpaceDE w:val="0"/>
        <w:autoSpaceDN w:val="0"/>
        <w:adjustRightInd w:val="0"/>
        <w:spacing w:after="0" w:line="240" w:lineRule="auto"/>
        <w:ind w:firstLine="720"/>
        <w:rPr>
          <w:rFonts w:ascii="CMR10" w:hAnsi="CMR10" w:cs="CMR10"/>
          <w:sz w:val="24"/>
          <w:szCs w:val="24"/>
        </w:rPr>
      </w:pPr>
      <w:r>
        <w:rPr>
          <w:rFonts w:ascii="CMR10" w:hAnsi="CMR10" w:cs="CMR10"/>
          <w:sz w:val="24"/>
          <w:szCs w:val="24"/>
        </w:rPr>
        <w:t>P is periodic if and only if the end phytoplankton concentration is the same as the initial concentration. If this occurs, then P will always have the exact same annual cycle, given identical outside forcing (</w:t>
      </w:r>
      <w:proofErr w:type="gramStart"/>
      <w:r>
        <w:rPr>
          <w:rFonts w:ascii="CMR10" w:hAnsi="CMR10" w:cs="CMR10"/>
          <w:sz w:val="24"/>
          <w:szCs w:val="24"/>
        </w:rPr>
        <w:t>Z,T</w:t>
      </w:r>
      <w:proofErr w:type="gramEnd"/>
      <w:r>
        <w:rPr>
          <w:rFonts w:ascii="CMR10" w:hAnsi="CMR10" w:cs="CMR10"/>
          <w:sz w:val="24"/>
          <w:szCs w:val="24"/>
        </w:rPr>
        <w:t xml:space="preserve">,I, etc.). </w:t>
      </w:r>
      <w:r w:rsidR="00CC4A52">
        <w:rPr>
          <w:rFonts w:ascii="CMR10" w:hAnsi="CMR10" w:cs="CMR10"/>
          <w:sz w:val="24"/>
          <w:szCs w:val="24"/>
        </w:rPr>
        <w:t>P is not perfectly periodic as written and is only completely periodic at g=</w:t>
      </w:r>
      <w:r w:rsidR="00CC4A52" w:rsidRPr="00CC4A52">
        <w:t xml:space="preserve"> </w:t>
      </w:r>
      <w:r w:rsidR="00CC4A52" w:rsidRPr="00CC4A52">
        <w:rPr>
          <w:rFonts w:ascii="CMR10" w:hAnsi="CMR10" w:cs="CMR10"/>
          <w:sz w:val="24"/>
          <w:szCs w:val="24"/>
        </w:rPr>
        <w:t>0.007434769143793</w:t>
      </w:r>
      <w:r w:rsidR="00CC4A52">
        <w:rPr>
          <w:rFonts w:ascii="CMR10" w:hAnsi="CMR10" w:cs="CMR10"/>
          <w:sz w:val="24"/>
          <w:szCs w:val="24"/>
        </w:rPr>
        <w:t xml:space="preserve">. </w:t>
      </w:r>
    </w:p>
    <w:p w:rsidR="00816E23" w:rsidRDefault="00816E23" w:rsidP="00816E23">
      <w:pPr>
        <w:autoSpaceDE w:val="0"/>
        <w:autoSpaceDN w:val="0"/>
        <w:adjustRightInd w:val="0"/>
        <w:spacing w:after="0" w:line="240" w:lineRule="auto"/>
        <w:ind w:firstLine="720"/>
        <w:rPr>
          <w:rFonts w:ascii="CMR10" w:hAnsi="CMR10" w:cs="CMR10"/>
          <w:sz w:val="24"/>
          <w:szCs w:val="24"/>
        </w:rPr>
      </w:pPr>
    </w:p>
    <w:p w:rsidR="00816E23" w:rsidRDefault="00816E23" w:rsidP="00816E23">
      <w:pPr>
        <w:autoSpaceDE w:val="0"/>
        <w:autoSpaceDN w:val="0"/>
        <w:adjustRightInd w:val="0"/>
        <w:spacing w:after="0" w:line="240" w:lineRule="auto"/>
        <w:rPr>
          <w:rFonts w:ascii="CMR10" w:hAnsi="CMR10" w:cs="CMR10"/>
          <w:sz w:val="24"/>
          <w:szCs w:val="24"/>
        </w:rPr>
      </w:pPr>
      <w:r>
        <w:rPr>
          <w:rFonts w:ascii="CMR10" w:hAnsi="CMR10" w:cs="CMR10"/>
          <w:sz w:val="24"/>
          <w:szCs w:val="24"/>
        </w:rPr>
        <w:t>The following are how g changes along with changing the other 2 equations:</w:t>
      </w:r>
    </w:p>
    <w:p w:rsidR="002C5925" w:rsidRPr="002C5925" w:rsidRDefault="002C5925" w:rsidP="002C5925">
      <w:pPr>
        <w:autoSpaceDE w:val="0"/>
        <w:autoSpaceDN w:val="0"/>
        <w:adjustRightInd w:val="0"/>
        <w:spacing w:after="0" w:line="240" w:lineRule="auto"/>
        <w:rPr>
          <w:rFonts w:ascii="CMR10" w:hAnsi="CMR10" w:cs="CMR10"/>
          <w:sz w:val="24"/>
          <w:szCs w:val="24"/>
        </w:rPr>
      </w:pPr>
      <w:r w:rsidRPr="002C5925">
        <w:rPr>
          <w:rFonts w:ascii="CMR10" w:hAnsi="CMR10" w:cs="CMR10"/>
          <w:sz w:val="24"/>
          <w:szCs w:val="24"/>
        </w:rPr>
        <w:t>P</w:t>
      </w:r>
      <w:r w:rsidRPr="00816E23">
        <w:rPr>
          <w:rFonts w:ascii="CMR10" w:hAnsi="CMR10" w:cs="CMR10"/>
          <w:sz w:val="24"/>
          <w:szCs w:val="24"/>
          <w:vertAlign w:val="subscript"/>
        </w:rPr>
        <w:t>h</w:t>
      </w:r>
      <w:r w:rsidRPr="002C5925">
        <w:rPr>
          <w:rFonts w:ascii="CMR10" w:hAnsi="CMR10" w:cs="CMR10"/>
          <w:sz w:val="24"/>
          <w:szCs w:val="24"/>
        </w:rPr>
        <w:t>*0.8: g=0.0048766</w:t>
      </w:r>
      <w:r w:rsidR="00816E23">
        <w:rPr>
          <w:rFonts w:ascii="CMR10" w:hAnsi="CMR10" w:cs="CMR10"/>
          <w:sz w:val="24"/>
          <w:szCs w:val="24"/>
        </w:rPr>
        <w:t xml:space="preserve">; </w:t>
      </w:r>
      <w:r w:rsidRPr="002C5925">
        <w:rPr>
          <w:rFonts w:ascii="CMR10" w:hAnsi="CMR10" w:cs="CMR10"/>
          <w:sz w:val="24"/>
          <w:szCs w:val="24"/>
        </w:rPr>
        <w:t>P</w:t>
      </w:r>
      <w:r w:rsidRPr="00816E23">
        <w:rPr>
          <w:rFonts w:ascii="CMR10" w:hAnsi="CMR10" w:cs="CMR10"/>
          <w:sz w:val="24"/>
          <w:szCs w:val="24"/>
          <w:vertAlign w:val="subscript"/>
        </w:rPr>
        <w:t>h</w:t>
      </w:r>
      <w:r w:rsidRPr="002C5925">
        <w:rPr>
          <w:rFonts w:ascii="CMR10" w:hAnsi="CMR10" w:cs="CMR10"/>
          <w:sz w:val="24"/>
          <w:szCs w:val="24"/>
        </w:rPr>
        <w:t>*1.2: g=0.0097679</w:t>
      </w:r>
    </w:p>
    <w:p w:rsidR="00CC4A52" w:rsidRDefault="002C5925" w:rsidP="002C5925">
      <w:pPr>
        <w:autoSpaceDE w:val="0"/>
        <w:autoSpaceDN w:val="0"/>
        <w:adjustRightInd w:val="0"/>
        <w:spacing w:after="0" w:line="240" w:lineRule="auto"/>
        <w:rPr>
          <w:rFonts w:ascii="CMR10" w:hAnsi="CMR10" w:cs="CMR10"/>
          <w:sz w:val="24"/>
          <w:szCs w:val="24"/>
        </w:rPr>
      </w:pPr>
      <w:r w:rsidRPr="002C5925">
        <w:rPr>
          <w:rFonts w:ascii="CMR10" w:hAnsi="CMR10" w:cs="CMR10"/>
          <w:sz w:val="24"/>
          <w:szCs w:val="24"/>
        </w:rPr>
        <w:t>R</w:t>
      </w:r>
      <w:r w:rsidRPr="00816E23">
        <w:rPr>
          <w:rFonts w:ascii="CMR10" w:hAnsi="CMR10" w:cs="CMR10"/>
          <w:sz w:val="24"/>
          <w:szCs w:val="24"/>
          <w:vertAlign w:val="subscript"/>
        </w:rPr>
        <w:t>T</w:t>
      </w:r>
      <w:r w:rsidRPr="002C5925">
        <w:rPr>
          <w:rFonts w:ascii="CMR10" w:hAnsi="CMR10" w:cs="CMR10"/>
          <w:sz w:val="24"/>
          <w:szCs w:val="24"/>
        </w:rPr>
        <w:t>*0.8: g=0.008506</w:t>
      </w:r>
      <w:r w:rsidR="00816E23">
        <w:rPr>
          <w:rFonts w:ascii="CMR10" w:hAnsi="CMR10" w:cs="CMR10"/>
          <w:sz w:val="24"/>
          <w:szCs w:val="24"/>
        </w:rPr>
        <w:t xml:space="preserve">; </w:t>
      </w:r>
      <w:r w:rsidRPr="002C5925">
        <w:rPr>
          <w:rFonts w:ascii="CMR10" w:hAnsi="CMR10" w:cs="CMR10"/>
          <w:sz w:val="24"/>
          <w:szCs w:val="24"/>
        </w:rPr>
        <w:t>R</w:t>
      </w:r>
      <w:r w:rsidRPr="00816E23">
        <w:rPr>
          <w:rFonts w:ascii="CMR10" w:hAnsi="CMR10" w:cs="CMR10"/>
          <w:sz w:val="24"/>
          <w:szCs w:val="24"/>
          <w:vertAlign w:val="subscript"/>
        </w:rPr>
        <w:t>T</w:t>
      </w:r>
      <w:r w:rsidRPr="002C5925">
        <w:rPr>
          <w:rFonts w:ascii="CMR10" w:hAnsi="CMR10" w:cs="CMR10"/>
          <w:sz w:val="24"/>
          <w:szCs w:val="24"/>
        </w:rPr>
        <w:t>*1.2: g=0.0063636</w:t>
      </w:r>
    </w:p>
    <w:p w:rsidR="00816E23" w:rsidRDefault="00816E23" w:rsidP="002C5925">
      <w:pPr>
        <w:autoSpaceDE w:val="0"/>
        <w:autoSpaceDN w:val="0"/>
        <w:adjustRightInd w:val="0"/>
        <w:spacing w:after="0" w:line="240" w:lineRule="auto"/>
        <w:rPr>
          <w:rFonts w:ascii="CMR10" w:hAnsi="CMR10" w:cs="CMR10"/>
          <w:sz w:val="24"/>
          <w:szCs w:val="24"/>
        </w:rPr>
      </w:pPr>
    </w:p>
    <w:p w:rsidR="00816E23" w:rsidRPr="00816E23" w:rsidRDefault="00816E23" w:rsidP="002C5925">
      <w:pPr>
        <w:autoSpaceDE w:val="0"/>
        <w:autoSpaceDN w:val="0"/>
        <w:adjustRightInd w:val="0"/>
        <w:spacing w:after="0" w:line="240" w:lineRule="auto"/>
        <w:rPr>
          <w:rFonts w:ascii="CMR10" w:hAnsi="CMR10" w:cs="CMR10"/>
          <w:sz w:val="24"/>
          <w:szCs w:val="24"/>
        </w:rPr>
      </w:pPr>
      <w:r>
        <w:rPr>
          <w:rFonts w:ascii="CMR10" w:hAnsi="CMR10" w:cs="CMR10"/>
          <w:sz w:val="24"/>
          <w:szCs w:val="24"/>
        </w:rPr>
        <w:tab/>
      </w:r>
      <w:proofErr w:type="gramStart"/>
      <w:r>
        <w:rPr>
          <w:rFonts w:ascii="CMR10" w:hAnsi="CMR10" w:cs="CMR10"/>
          <w:sz w:val="24"/>
          <w:szCs w:val="24"/>
        </w:rPr>
        <w:t>Similar to</w:t>
      </w:r>
      <w:proofErr w:type="gramEnd"/>
      <w:r>
        <w:rPr>
          <w:rFonts w:ascii="CMR10" w:hAnsi="CMR10" w:cs="CMR10"/>
          <w:sz w:val="24"/>
          <w:szCs w:val="24"/>
        </w:rPr>
        <w:t xml:space="preserve"> the sensitivity analysis, changes in P</w:t>
      </w:r>
      <w:r>
        <w:rPr>
          <w:rFonts w:ascii="CMR10" w:hAnsi="CMR10" w:cs="CMR10"/>
          <w:sz w:val="24"/>
          <w:szCs w:val="24"/>
          <w:vertAlign w:val="subscript"/>
        </w:rPr>
        <w:t xml:space="preserve">h </w:t>
      </w:r>
      <w:r>
        <w:rPr>
          <w:rFonts w:ascii="CMR10" w:hAnsi="CMR10" w:cs="CMR10"/>
          <w:sz w:val="24"/>
          <w:szCs w:val="24"/>
        </w:rPr>
        <w:t>result in the largest changes in g.</w:t>
      </w:r>
      <w:r>
        <w:rPr>
          <w:rFonts w:ascii="CMR10" w:hAnsi="CMR10" w:cs="CMR10"/>
          <w:sz w:val="24"/>
          <w:szCs w:val="24"/>
          <w:vertAlign w:val="subscript"/>
        </w:rPr>
        <w:softHyphen/>
      </w:r>
    </w:p>
    <w:p w:rsidR="00816E23" w:rsidRDefault="00816E23" w:rsidP="002C5925">
      <w:pPr>
        <w:autoSpaceDE w:val="0"/>
        <w:autoSpaceDN w:val="0"/>
        <w:adjustRightInd w:val="0"/>
        <w:spacing w:after="0" w:line="240" w:lineRule="auto"/>
        <w:rPr>
          <w:rFonts w:ascii="CMR10" w:hAnsi="CMR10" w:cs="CMR10"/>
          <w:sz w:val="24"/>
          <w:szCs w:val="24"/>
        </w:rPr>
      </w:pPr>
      <w:r>
        <w:rPr>
          <w:rFonts w:ascii="CMR10" w:hAnsi="CMR10" w:cs="CMR10"/>
          <w:sz w:val="24"/>
          <w:szCs w:val="24"/>
        </w:rPr>
        <w:lastRenderedPageBreak/>
        <w:t>3) Periodic model with randomly varying Z:</w:t>
      </w:r>
    </w:p>
    <w:p w:rsidR="00816E23" w:rsidRDefault="003E163B" w:rsidP="002C5925">
      <w:pPr>
        <w:autoSpaceDE w:val="0"/>
        <w:autoSpaceDN w:val="0"/>
        <w:adjustRightInd w:val="0"/>
        <w:spacing w:after="0" w:line="240" w:lineRule="auto"/>
        <w:rPr>
          <w:rFonts w:ascii="CMR10" w:hAnsi="CMR10" w:cs="CMR10"/>
          <w:sz w:val="24"/>
          <w:szCs w:val="24"/>
        </w:rPr>
      </w:pPr>
      <w:r>
        <w:rPr>
          <w:rFonts w:ascii="CMR10" w:hAnsi="CMR10" w:cs="CMR10"/>
          <w:noProof/>
          <w:sz w:val="24"/>
          <w:szCs w:val="24"/>
        </w:rPr>
        <w:drawing>
          <wp:inline distT="0" distB="0" distL="0" distR="0">
            <wp:extent cx="5935980" cy="34442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3444240"/>
                    </a:xfrm>
                    <a:prstGeom prst="rect">
                      <a:avLst/>
                    </a:prstGeom>
                    <a:noFill/>
                    <a:ln>
                      <a:noFill/>
                    </a:ln>
                  </pic:spPr>
                </pic:pic>
              </a:graphicData>
            </a:graphic>
          </wp:inline>
        </w:drawing>
      </w:r>
    </w:p>
    <w:p w:rsidR="003E163B" w:rsidRDefault="003E163B" w:rsidP="002C5925">
      <w:pPr>
        <w:autoSpaceDE w:val="0"/>
        <w:autoSpaceDN w:val="0"/>
        <w:adjustRightInd w:val="0"/>
        <w:spacing w:after="0" w:line="240" w:lineRule="auto"/>
        <w:rPr>
          <w:rFonts w:ascii="CMR10" w:hAnsi="CMR10" w:cs="CMR10"/>
          <w:sz w:val="24"/>
          <w:szCs w:val="24"/>
        </w:rPr>
      </w:pPr>
      <w:r>
        <w:rPr>
          <w:rFonts w:ascii="CMR10" w:hAnsi="CMR10" w:cs="CMR10"/>
          <w:sz w:val="24"/>
          <w:szCs w:val="24"/>
        </w:rPr>
        <w:tab/>
        <w:t xml:space="preserve">The left plot above shows three runs with </w:t>
      </w:r>
      <w:r w:rsidR="005F0C8C">
        <w:rPr>
          <w:rFonts w:ascii="CMR10" w:hAnsi="CMR10" w:cs="CMR10"/>
          <w:sz w:val="24"/>
          <w:szCs w:val="24"/>
        </w:rPr>
        <w:t xml:space="preserve">randomly </w:t>
      </w:r>
      <w:r>
        <w:rPr>
          <w:rFonts w:ascii="CMR10" w:hAnsi="CMR10" w:cs="CMR10"/>
          <w:sz w:val="24"/>
          <w:szCs w:val="24"/>
        </w:rPr>
        <w:t xml:space="preserve">varying zooplankton populations, each with a different general trend. Run 1 (blue) has successive years of low zooplankton concentration, so the </w:t>
      </w:r>
      <w:r w:rsidR="005F0C8C">
        <w:rPr>
          <w:rFonts w:ascii="CMR10" w:hAnsi="CMR10" w:cs="CMR10"/>
          <w:sz w:val="24"/>
          <w:szCs w:val="24"/>
        </w:rPr>
        <w:t xml:space="preserve">phytoplankton population quickly rises year after year. Run 2 demonstrates a population that has a similar average zooplankton concentration to the original model. As a result, increases in phytoplankton abundance due to low zooplankton concentration are lowered in later years of high zooplankton abundance. Run 3 shows successive years of high zooplankton concentration, which results in phytoplankton abundance to decrease each year. All three of these runs arose from random chance. </w:t>
      </w:r>
    </w:p>
    <w:p w:rsidR="003E163B" w:rsidRPr="00CC4A52" w:rsidRDefault="005F0C8C" w:rsidP="002C5925">
      <w:pPr>
        <w:autoSpaceDE w:val="0"/>
        <w:autoSpaceDN w:val="0"/>
        <w:adjustRightInd w:val="0"/>
        <w:spacing w:after="0" w:line="240" w:lineRule="auto"/>
        <w:rPr>
          <w:rFonts w:ascii="CMR10" w:hAnsi="CMR10" w:cs="CMR10"/>
          <w:sz w:val="24"/>
          <w:szCs w:val="24"/>
        </w:rPr>
      </w:pPr>
      <w:r>
        <w:rPr>
          <w:rFonts w:ascii="CMR10" w:hAnsi="CMR10" w:cs="CMR10"/>
          <w:sz w:val="24"/>
          <w:szCs w:val="24"/>
        </w:rPr>
        <w:tab/>
        <w:t>The right plot above shows the result of 100 randomly varying zooplankton model</w:t>
      </w:r>
      <w:r w:rsidR="002569BA">
        <w:rPr>
          <w:rFonts w:ascii="CMR10" w:hAnsi="CMR10" w:cs="CMR10"/>
          <w:sz w:val="24"/>
          <w:szCs w:val="24"/>
        </w:rPr>
        <w:t xml:space="preserve">s (mean: orange, </w:t>
      </w:r>
      <w:r w:rsidR="002569BA">
        <w:rPr>
          <w:rFonts w:ascii="Calibri" w:hAnsi="Calibri" w:cs="Calibri"/>
          <w:sz w:val="24"/>
          <w:szCs w:val="24"/>
        </w:rPr>
        <w:t>±</w:t>
      </w:r>
      <w:r w:rsidR="002569BA">
        <w:rPr>
          <w:rFonts w:ascii="CMR10" w:hAnsi="CMR10" w:cs="CMR10"/>
          <w:sz w:val="24"/>
          <w:szCs w:val="24"/>
        </w:rPr>
        <w:t xml:space="preserve"> 1 standard deviation from mean: red). The standard deviations represent 68% of 100 models. The lower bound hits zero after 4 years. Since a phytoplankton population has no way of recovering after dying out in this model, successive high zooplankton concentrations cause a significant number of runs to approach zero abundance over time. </w:t>
      </w:r>
      <w:r w:rsidR="008367CA">
        <w:rPr>
          <w:rFonts w:ascii="CMR10" w:hAnsi="CMR10" w:cs="CMR10"/>
          <w:sz w:val="24"/>
          <w:szCs w:val="24"/>
        </w:rPr>
        <w:t xml:space="preserve">None of the 100 runs reached zero abundance, as e raised to a large negative power is still nonzero. </w:t>
      </w:r>
      <w:r w:rsidR="00E10B1E">
        <w:rPr>
          <w:rFonts w:ascii="CMR10" w:hAnsi="CMR10" w:cs="CMR10"/>
          <w:sz w:val="24"/>
          <w:szCs w:val="24"/>
        </w:rPr>
        <w:t xml:space="preserve">The 100-model run mean shifts upward with time compared to the periodic model (blue) as lower zooplankton concentrations allow phytoplankton concentrations to rise. </w:t>
      </w:r>
      <w:r w:rsidR="00C02187">
        <w:rPr>
          <w:rFonts w:ascii="CMR10" w:hAnsi="CMR10" w:cs="CMR10"/>
          <w:sz w:val="24"/>
          <w:szCs w:val="24"/>
        </w:rPr>
        <w:t>Increased time permits higher phytoplankton concentrations, potentially without limit. Zooplankton concentrations randomly vary every 15 days from the original values, however, not all times in the year are equally important. If lower zooplankton populations occur during the bloom, phytoplankton populations can increase much more rapidly than lower zooplankton populations at other times of the year. This leads to a widening gap between runs, permitting individual runs to grow more rapidly. Th</w:t>
      </w:r>
      <w:r w:rsidR="000235C4">
        <w:rPr>
          <w:rFonts w:ascii="CMR10" w:hAnsi="CMR10" w:cs="CMR10"/>
          <w:sz w:val="24"/>
          <w:szCs w:val="24"/>
        </w:rPr>
        <w:t>ese runs with elevated phytoplankton concentrations</w:t>
      </w:r>
      <w:r w:rsidR="00C02187">
        <w:rPr>
          <w:rFonts w:ascii="CMR10" w:hAnsi="CMR10" w:cs="CMR10"/>
          <w:sz w:val="24"/>
          <w:szCs w:val="24"/>
        </w:rPr>
        <w:t xml:space="preserve"> </w:t>
      </w:r>
      <w:r w:rsidR="000235C4">
        <w:rPr>
          <w:rFonts w:ascii="CMR10" w:hAnsi="CMR10" w:cs="CMR10"/>
          <w:sz w:val="24"/>
          <w:szCs w:val="24"/>
        </w:rPr>
        <w:t>are</w:t>
      </w:r>
      <w:r w:rsidR="00C02187">
        <w:rPr>
          <w:rFonts w:ascii="CMR10" w:hAnsi="CMR10" w:cs="CMR10"/>
          <w:sz w:val="24"/>
          <w:szCs w:val="24"/>
        </w:rPr>
        <w:t xml:space="preserve"> what shifts the mean upwards</w:t>
      </w:r>
      <w:r w:rsidR="000235C4">
        <w:rPr>
          <w:rFonts w:ascii="CMR10" w:hAnsi="CMR10" w:cs="CMR10"/>
          <w:sz w:val="24"/>
          <w:szCs w:val="24"/>
        </w:rPr>
        <w:t>, much more than the average run. The highest phytoplankton concentration within the 10</w:t>
      </w:r>
      <w:r w:rsidR="000235C4" w:rsidRPr="000235C4">
        <w:rPr>
          <w:rFonts w:ascii="CMR10" w:hAnsi="CMR10" w:cs="CMR10"/>
          <w:sz w:val="24"/>
          <w:szCs w:val="24"/>
          <w:vertAlign w:val="superscript"/>
        </w:rPr>
        <w:t>th</w:t>
      </w:r>
      <w:r w:rsidR="000235C4">
        <w:rPr>
          <w:rFonts w:ascii="CMR10" w:hAnsi="CMR10" w:cs="CMR10"/>
          <w:sz w:val="24"/>
          <w:szCs w:val="24"/>
        </w:rPr>
        <w:t xml:space="preserve"> year was over 5000, which is much larger than the peak mean of around 80.</w:t>
      </w:r>
      <w:bookmarkStart w:id="0" w:name="_GoBack"/>
      <w:bookmarkEnd w:id="0"/>
    </w:p>
    <w:sectPr w:rsidR="003E163B" w:rsidRPr="00CC4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MI10">
    <w:altName w:val="Calibri"/>
    <w:panose1 w:val="00000000000000000000"/>
    <w:charset w:val="00"/>
    <w:family w:val="auto"/>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 w:name="CMR7">
    <w:altName w:val="Calibri"/>
    <w:panose1 w:val="00000000000000000000"/>
    <w:charset w:val="00"/>
    <w:family w:val="swiss"/>
    <w:notTrueType/>
    <w:pitch w:val="default"/>
    <w:sig w:usb0="00000003" w:usb1="00000000" w:usb2="00000000" w:usb3="00000000" w:csb0="00000001" w:csb1="00000000"/>
  </w:font>
  <w:font w:name="CMSY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42"/>
    <w:rsid w:val="000235C4"/>
    <w:rsid w:val="00096EA5"/>
    <w:rsid w:val="002569BA"/>
    <w:rsid w:val="002C5925"/>
    <w:rsid w:val="003E163B"/>
    <w:rsid w:val="00441B64"/>
    <w:rsid w:val="0048162C"/>
    <w:rsid w:val="005F0C8C"/>
    <w:rsid w:val="00615D37"/>
    <w:rsid w:val="006B5CE3"/>
    <w:rsid w:val="00816E23"/>
    <w:rsid w:val="008367CA"/>
    <w:rsid w:val="009006DE"/>
    <w:rsid w:val="009172BC"/>
    <w:rsid w:val="009271C8"/>
    <w:rsid w:val="00B0000B"/>
    <w:rsid w:val="00C02187"/>
    <w:rsid w:val="00CC4A52"/>
    <w:rsid w:val="00E10B1E"/>
    <w:rsid w:val="00E32F42"/>
    <w:rsid w:val="00FC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FAD5"/>
  <w15:chartTrackingRefBased/>
  <w15:docId w15:val="{8D89EB38-B0D6-41C1-8744-C932405D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Hirzel</dc:creator>
  <cp:keywords/>
  <dc:description/>
  <cp:lastModifiedBy>Andrew Hirzel</cp:lastModifiedBy>
  <cp:revision>6</cp:revision>
  <dcterms:created xsi:type="dcterms:W3CDTF">2019-03-05T18:37:00Z</dcterms:created>
  <dcterms:modified xsi:type="dcterms:W3CDTF">2019-03-06T07:11:00Z</dcterms:modified>
</cp:coreProperties>
</file>